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C" w:rsidRPr="0029343C" w:rsidRDefault="0029343C" w:rsidP="00293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43C">
        <w:rPr>
          <w:color w:val="000000"/>
          <w:sz w:val="28"/>
          <w:szCs w:val="28"/>
        </w:rPr>
        <w:t xml:space="preserve">В настоящее время, например, на автомобиле  ВАЗ-2115 применяется газораспределительный </w:t>
      </w:r>
      <w:proofErr w:type="gramStart"/>
      <w:r w:rsidRPr="0029343C">
        <w:rPr>
          <w:color w:val="000000"/>
          <w:sz w:val="28"/>
          <w:szCs w:val="28"/>
        </w:rPr>
        <w:t>механизм</w:t>
      </w:r>
      <w:proofErr w:type="gramEnd"/>
      <w:r w:rsidRPr="0029343C">
        <w:rPr>
          <w:color w:val="000000"/>
          <w:sz w:val="28"/>
          <w:szCs w:val="28"/>
        </w:rPr>
        <w:t xml:space="preserve"> включающий в себя  распределительный вал, приводимый во вращение через ремённую зубчатую передачу от коленчатого вала двигателя, который своими кулачками взаимодействует с клапанами, установленными в головке цилиндров, обеспечивающими заполнение горючей смесью цилиндры двигателя и освобождения их от отработанных газов (рис.). Существенным недостатком такого ГРМ является то, что процессы циркуляции газов в двигателе и содержание вредных веществ в отработавших газах достаточно значительны.</w:t>
      </w:r>
    </w:p>
    <w:p w:rsidR="0029343C" w:rsidRPr="0029343C" w:rsidRDefault="0029343C" w:rsidP="00293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43C">
        <w:rPr>
          <w:color w:val="000000"/>
          <w:sz w:val="28"/>
          <w:szCs w:val="28"/>
        </w:rPr>
        <w:t>       Анализ многочисленных библиографических источников, а также отечественных и зарубежных патентов  позволил разработать на уровне изобретения (Пол</w:t>
      </w:r>
      <w:proofErr w:type="gramStart"/>
      <w:r w:rsidRPr="0029343C">
        <w:rPr>
          <w:color w:val="000000"/>
          <w:sz w:val="28"/>
          <w:szCs w:val="28"/>
        </w:rPr>
        <w:t>.</w:t>
      </w:r>
      <w:proofErr w:type="gramEnd"/>
      <w:r w:rsidRPr="0029343C">
        <w:rPr>
          <w:color w:val="000000"/>
          <w:sz w:val="28"/>
          <w:szCs w:val="28"/>
        </w:rPr>
        <w:t xml:space="preserve"> </w:t>
      </w:r>
      <w:proofErr w:type="gramStart"/>
      <w:r w:rsidRPr="0029343C">
        <w:rPr>
          <w:color w:val="000000"/>
          <w:sz w:val="28"/>
          <w:szCs w:val="28"/>
        </w:rPr>
        <w:t>р</w:t>
      </w:r>
      <w:proofErr w:type="gramEnd"/>
      <w:r w:rsidRPr="0029343C">
        <w:rPr>
          <w:color w:val="000000"/>
          <w:sz w:val="28"/>
          <w:szCs w:val="28"/>
        </w:rPr>
        <w:t>ешение ФИПС по заявке №2017119049/06 от 01.03.2018 г.)  перспективную конструкцию газораспределительного механизма для ДВС обладающего повышенной эффективностью использования в сравнении с известными техническими решениями.</w:t>
      </w:r>
    </w:p>
    <w:p w:rsidR="0029343C" w:rsidRPr="0029343C" w:rsidRDefault="0029343C" w:rsidP="00293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43C">
        <w:rPr>
          <w:color w:val="000000"/>
          <w:sz w:val="28"/>
          <w:szCs w:val="28"/>
        </w:rPr>
        <w:t xml:space="preserve">        Предложенная конструкция перспективного ГРМ включает  распределительный вал, который совместно с кулачками изготовлен из упругого материала и кулачки впускных клапанов выполнены пустотелыми, в продольном сечении имеют конусную форму с </w:t>
      </w:r>
      <w:proofErr w:type="spellStart"/>
      <w:r w:rsidRPr="0029343C">
        <w:rPr>
          <w:color w:val="000000"/>
          <w:sz w:val="28"/>
          <w:szCs w:val="28"/>
        </w:rPr>
        <w:t>разнотолщинной</w:t>
      </w:r>
      <w:proofErr w:type="spellEnd"/>
      <w:r w:rsidRPr="0029343C">
        <w:rPr>
          <w:color w:val="000000"/>
          <w:sz w:val="28"/>
          <w:szCs w:val="28"/>
        </w:rPr>
        <w:t xml:space="preserve"> толщиной </w:t>
      </w:r>
      <w:proofErr w:type="gramStart"/>
      <w:r w:rsidRPr="0029343C">
        <w:rPr>
          <w:color w:val="000000"/>
          <w:sz w:val="28"/>
          <w:szCs w:val="28"/>
        </w:rPr>
        <w:t>стенок</w:t>
      </w:r>
      <w:proofErr w:type="gramEnd"/>
      <w:r w:rsidRPr="0029343C">
        <w:rPr>
          <w:color w:val="000000"/>
          <w:sz w:val="28"/>
          <w:szCs w:val="28"/>
        </w:rPr>
        <w:t xml:space="preserve"> по их длине изменяющейся в сторону их контактных поверхностей с клапанами причём, изгибная жёсткость упомянутых впускных кулачков в поперечной их плоскости несколько ниже чем продольная жёсткость пружин клапанов, а продольная их жёсткость при сжатии </w:t>
      </w:r>
      <w:proofErr w:type="gramStart"/>
      <w:r w:rsidRPr="0029343C">
        <w:rPr>
          <w:color w:val="000000"/>
          <w:sz w:val="28"/>
          <w:szCs w:val="28"/>
        </w:rPr>
        <w:t>выше</w:t>
      </w:r>
      <w:proofErr w:type="gramEnd"/>
      <w:r w:rsidRPr="0029343C">
        <w:rPr>
          <w:color w:val="000000"/>
          <w:sz w:val="28"/>
          <w:szCs w:val="28"/>
        </w:rPr>
        <w:t xml:space="preserve"> чем у последних.</w:t>
      </w:r>
    </w:p>
    <w:p w:rsidR="0029343C" w:rsidRPr="0029343C" w:rsidRDefault="0029343C" w:rsidP="00293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43C">
        <w:rPr>
          <w:color w:val="000000"/>
          <w:sz w:val="28"/>
          <w:szCs w:val="28"/>
        </w:rPr>
        <w:t xml:space="preserve">     Для подтверждения правильности выбора конструктивных параметров предложенной конструкции ГРМ в каждом конкретном случае привязки его к тому или иному типу двигателей, разработана программа для ЭВМ на языке </w:t>
      </w:r>
      <w:proofErr w:type="spellStart"/>
      <w:r w:rsidRPr="0029343C">
        <w:rPr>
          <w:color w:val="000000"/>
          <w:sz w:val="28"/>
          <w:szCs w:val="28"/>
        </w:rPr>
        <w:t>Delphi</w:t>
      </w:r>
      <w:proofErr w:type="spellEnd"/>
      <w:r w:rsidRPr="0029343C">
        <w:rPr>
          <w:color w:val="000000"/>
          <w:sz w:val="28"/>
          <w:szCs w:val="28"/>
        </w:rPr>
        <w:t>. В тоже время для окончательной оценки работоспособности предложенного устройства и выдачи рекомендаций по его использованию в практике для широкого круга ДВС автомобилей необходимо провести широкий цикл экспериментальных исследований на макетных и опытных образцах их в стендовых и эксплуатационных условиях.       Результаты исследования рекомендуются для дальнейшего изучения, доработки и возможного внедрения на машиностроительных предприятиях серийно выпускающих, ремонтирующих и эксплуатирующих автомобильные ДВС,  как в нашей стране, так и за рубежом.</w:t>
      </w:r>
    </w:p>
    <w:p w:rsidR="0029343C" w:rsidRPr="0029343C" w:rsidRDefault="0029343C" w:rsidP="00293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43C">
        <w:rPr>
          <w:color w:val="000000"/>
          <w:sz w:val="28"/>
          <w:szCs w:val="28"/>
        </w:rPr>
        <w:t>[thumb]http://www.elsu.ru/uploads/posts/2018-03/1522041880_12.jpg[/thumb]</w:t>
      </w:r>
    </w:p>
    <w:p w:rsidR="00533993" w:rsidRPr="0029343C" w:rsidRDefault="00533993" w:rsidP="00293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993" w:rsidRPr="0029343C" w:rsidSect="0053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C"/>
    <w:rsid w:val="0029343C"/>
    <w:rsid w:val="005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2018-03-27T15:30:00Z</dcterms:created>
  <dcterms:modified xsi:type="dcterms:W3CDTF">2018-03-27T15:32:00Z</dcterms:modified>
</cp:coreProperties>
</file>