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8" w:rsidRPr="00C75428" w:rsidRDefault="00C75428" w:rsidP="00C75428">
      <w:pPr>
        <w:pStyle w:val="a3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C75428">
        <w:rPr>
          <w:rStyle w:val="a5"/>
          <w:color w:val="000000"/>
          <w:sz w:val="28"/>
          <w:szCs w:val="28"/>
          <w:shd w:val="clear" w:color="auto" w:fill="FFFFFF"/>
        </w:rPr>
        <w:t>В журнале «Вестник БГТУ» №2 за 2019г. (журнал включён в перечень ведущих рецензируемых научных журналов рекомендуемых для публикаций ВАК)</w:t>
      </w:r>
      <w:r w:rsidRPr="00C75428">
        <w:rPr>
          <w:color w:val="000000"/>
          <w:sz w:val="28"/>
          <w:szCs w:val="28"/>
          <w:shd w:val="clear" w:color="auto" w:fill="FFFFFF"/>
        </w:rPr>
        <w:t xml:space="preserve"> опубликована статья </w:t>
      </w:r>
      <w:proofErr w:type="spellStart"/>
      <w:r w:rsidRPr="00C75428">
        <w:rPr>
          <w:color w:val="000000"/>
          <w:sz w:val="28"/>
          <w:szCs w:val="28"/>
          <w:shd w:val="clear" w:color="auto" w:fill="FFFFFF"/>
        </w:rPr>
        <w:t>Сливинского</w:t>
      </w:r>
      <w:proofErr w:type="spellEnd"/>
      <w:r w:rsidRPr="00C75428">
        <w:rPr>
          <w:color w:val="000000"/>
          <w:sz w:val="28"/>
          <w:szCs w:val="28"/>
          <w:shd w:val="clear" w:color="auto" w:fill="FFFFFF"/>
        </w:rPr>
        <w:t xml:space="preserve"> Е.В. и </w:t>
      </w:r>
      <w:proofErr w:type="spellStart"/>
      <w:r w:rsidRPr="00C75428">
        <w:rPr>
          <w:color w:val="000000"/>
          <w:sz w:val="28"/>
          <w:szCs w:val="28"/>
          <w:shd w:val="clear" w:color="auto" w:fill="FFFFFF"/>
        </w:rPr>
        <w:t>Радина</w:t>
      </w:r>
      <w:proofErr w:type="spellEnd"/>
      <w:r w:rsidRPr="00C75428">
        <w:rPr>
          <w:color w:val="000000"/>
          <w:sz w:val="28"/>
          <w:szCs w:val="28"/>
          <w:shd w:val="clear" w:color="auto" w:fill="FFFFFF"/>
        </w:rPr>
        <w:t xml:space="preserve"> С.Ю. на тему </w:t>
      </w:r>
      <w:r w:rsidRPr="00C75428">
        <w:rPr>
          <w:rStyle w:val="a5"/>
          <w:color w:val="000000"/>
          <w:sz w:val="28"/>
          <w:szCs w:val="28"/>
          <w:shd w:val="clear" w:color="auto" w:fill="FFFFFF"/>
        </w:rPr>
        <w:t>«Модернизация рессорного подвешивания тепловозов с челюстными тележками».</w:t>
      </w:r>
    </w:p>
    <w:p w:rsidR="00C75428" w:rsidRPr="00C75428" w:rsidRDefault="00C75428" w:rsidP="00C754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5428">
        <w:rPr>
          <w:color w:val="000000"/>
          <w:sz w:val="28"/>
          <w:szCs w:val="28"/>
        </w:rPr>
        <w:t>Известно, что тележки тепловозов являются ходовыми их частями  (</w:t>
      </w:r>
      <w:proofErr w:type="gramStart"/>
      <w:r w:rsidRPr="00C75428">
        <w:rPr>
          <w:color w:val="000000"/>
          <w:sz w:val="28"/>
          <w:szCs w:val="28"/>
        </w:rPr>
        <w:t>см</w:t>
      </w:r>
      <w:proofErr w:type="gramEnd"/>
      <w:r w:rsidRPr="00C75428">
        <w:rPr>
          <w:color w:val="000000"/>
          <w:sz w:val="28"/>
          <w:szCs w:val="28"/>
        </w:rPr>
        <w:t xml:space="preserve">. рис.) и при движении испытывают сложные силовые воздействия, передавая силу тяги на автосцепку, силу тяжести на рельсы, силы, возникающие при торможении, а также воспринимают усилия от неровности пути и при движении в его кривых. Поэтому от конструкции тележек в значительной степени зависят плавность хода локомотива и другие его динамические характеристики. Одним из ответственных устройств направленных на снижение динамического воздействия колёс на рельсы и повышение плавности хода тепловозов является рессорное подвешивание. Рессорное подвешивание локомотивов классифицируют по следующим основным признакам: по числу степеней подвешивания (одно или двухступенчатое); по числу точек подвешивания экипажных частей или тележек;  по материалу упругих элементов (сталь, резина); по </w:t>
      </w:r>
      <w:proofErr w:type="gramStart"/>
      <w:r w:rsidRPr="00C75428">
        <w:rPr>
          <w:color w:val="000000"/>
          <w:sz w:val="28"/>
          <w:szCs w:val="28"/>
        </w:rPr>
        <w:t>функциям</w:t>
      </w:r>
      <w:proofErr w:type="gramEnd"/>
      <w:r w:rsidRPr="00C75428">
        <w:rPr>
          <w:color w:val="000000"/>
          <w:sz w:val="28"/>
          <w:szCs w:val="28"/>
        </w:rPr>
        <w:t xml:space="preserve"> выполняемым элементами подвешивания (упругие элементы - спиральные, тарельчатые пружины, торсионы; упруго деформируемые элементы – листовые рессоры, </w:t>
      </w:r>
      <w:proofErr w:type="spellStart"/>
      <w:r w:rsidRPr="00C75428">
        <w:rPr>
          <w:color w:val="000000"/>
          <w:sz w:val="28"/>
          <w:szCs w:val="28"/>
        </w:rPr>
        <w:t>пневмо</w:t>
      </w:r>
      <w:proofErr w:type="spellEnd"/>
      <w:r w:rsidRPr="00C75428">
        <w:rPr>
          <w:color w:val="000000"/>
          <w:sz w:val="28"/>
          <w:szCs w:val="28"/>
        </w:rPr>
        <w:t xml:space="preserve"> баллоны, резинометаллические элементы;  элементы поглощающие энергию колебаний – фрикционные, гидравлические демпферы; элементы, распределяющие усилия в системе – балансиры, подвески, валики и так далее)</w:t>
      </w:r>
    </w:p>
    <w:p w:rsidR="00C75428" w:rsidRPr="00C75428" w:rsidRDefault="00C75428" w:rsidP="00C754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5428">
        <w:rPr>
          <w:color w:val="000000"/>
          <w:sz w:val="28"/>
          <w:szCs w:val="28"/>
        </w:rPr>
        <w:t xml:space="preserve">    </w:t>
      </w:r>
      <w:proofErr w:type="gramStart"/>
      <w:r w:rsidRPr="00C75428">
        <w:rPr>
          <w:color w:val="000000"/>
          <w:sz w:val="28"/>
          <w:szCs w:val="28"/>
        </w:rPr>
        <w:t>Анализ вышеизложенного показывает, что в настоящее время существующие конструкции рессорного подвешивания локомотивов еще далеки до совершенства, так как достаточно сложны в устройстве, изготовлении, имеют значительную собственную массу, а, следовательно, и высокую стоимость и поэтому одним из перспективных направлений в их модернизации, является использование торсионных рессор и эффективных гидравлических гасителей колебаний.</w:t>
      </w:r>
      <w:proofErr w:type="gramEnd"/>
      <w:r w:rsidRPr="00C75428">
        <w:rPr>
          <w:color w:val="000000"/>
          <w:sz w:val="28"/>
          <w:szCs w:val="28"/>
        </w:rPr>
        <w:t>     Учитывая это в СКБ ЕГУ им. И.А. Бунина в течени</w:t>
      </w:r>
      <w:proofErr w:type="gramStart"/>
      <w:r w:rsidRPr="00C75428">
        <w:rPr>
          <w:color w:val="000000"/>
          <w:sz w:val="28"/>
          <w:szCs w:val="28"/>
        </w:rPr>
        <w:t>и</w:t>
      </w:r>
      <w:proofErr w:type="gramEnd"/>
      <w:r w:rsidRPr="00C75428">
        <w:rPr>
          <w:color w:val="000000"/>
          <w:sz w:val="28"/>
          <w:szCs w:val="28"/>
        </w:rPr>
        <w:t xml:space="preserve"> 2013-2018 г, по заказу локомотивного депо Елец Северный Юго-Восточной железной дороги филиал ОАО «РЖД» проводится НИР направленная на совершенствование конструкции железнодорожного подвижного состава и по одному из ее разделов по линии НИРС и СКБ университета выполняются работы связанные с упрощением конструкции и повышением эффективности использования рессорного подвешивания локомотивов. </w:t>
      </w:r>
      <w:proofErr w:type="gramStart"/>
      <w:r w:rsidRPr="00C75428">
        <w:rPr>
          <w:color w:val="000000"/>
          <w:sz w:val="28"/>
          <w:szCs w:val="28"/>
        </w:rPr>
        <w:t>По результатам проведенного анализа значительного числа литературных источников, отечественных и зарубежных патентов университетом  получены патенты РФ на изобретения (RU2240929, RU2301363) связанные с созданием перспективного рессорного подвешивания для тепловозов снабжённых  челюстными тележками (см. рис.) где показан общий вид такого рессорного подвешивания привязанного, например, к тележке тепловоза 2ТЭ10Л.</w:t>
      </w:r>
      <w:proofErr w:type="gramEnd"/>
    </w:p>
    <w:p w:rsidR="00C75428" w:rsidRPr="00C75428" w:rsidRDefault="00C75428" w:rsidP="00C754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75428">
        <w:rPr>
          <w:color w:val="000000"/>
          <w:sz w:val="28"/>
          <w:szCs w:val="28"/>
        </w:rPr>
        <w:lastRenderedPageBreak/>
        <w:t>Для оценки работоспособности предложенной конструкции рессорной подвески и в частности её составляющей элементной базы, и определения основных их геометрических и кинематических параметров разработаны соответствующие расчётные схемы и приняты следующие исходные данные: на одну колесную пару тепловоза действует реальная статическая нагрузка 212  </w:t>
      </w:r>
      <w:r w:rsidRPr="00C75428">
        <w:rPr>
          <w:rStyle w:val="a4"/>
          <w:color w:val="000000"/>
          <w:sz w:val="28"/>
          <w:szCs w:val="28"/>
        </w:rPr>
        <w:t>кН,</w:t>
      </w:r>
      <w:r w:rsidRPr="00C75428">
        <w:rPr>
          <w:color w:val="000000"/>
          <w:sz w:val="28"/>
          <w:szCs w:val="28"/>
        </w:rPr>
        <w:t> то к рычагу одной торсионной рессоры будет приложена сила </w:t>
      </w:r>
      <w:proofErr w:type="spellStart"/>
      <w:r w:rsidRPr="00C75428">
        <w:rPr>
          <w:rStyle w:val="a4"/>
          <w:color w:val="000000"/>
          <w:sz w:val="28"/>
          <w:szCs w:val="28"/>
        </w:rPr>
        <w:t>Nст</w:t>
      </w:r>
      <w:proofErr w:type="spellEnd"/>
      <w:r w:rsidRPr="00C75428">
        <w:rPr>
          <w:rStyle w:val="a4"/>
          <w:color w:val="000000"/>
          <w:sz w:val="28"/>
          <w:szCs w:val="28"/>
        </w:rPr>
        <w:t> </w:t>
      </w:r>
      <w:r w:rsidRPr="00C75428">
        <w:rPr>
          <w:color w:val="000000"/>
          <w:sz w:val="28"/>
          <w:szCs w:val="28"/>
        </w:rPr>
        <w:t>=212/4 = 53 </w:t>
      </w:r>
      <w:r w:rsidRPr="00C75428">
        <w:rPr>
          <w:rStyle w:val="a4"/>
          <w:color w:val="000000"/>
          <w:sz w:val="28"/>
          <w:szCs w:val="28"/>
        </w:rPr>
        <w:t>кН</w:t>
      </w:r>
      <w:r w:rsidRPr="00C75428">
        <w:rPr>
          <w:color w:val="000000"/>
          <w:sz w:val="28"/>
          <w:szCs w:val="28"/>
        </w:rPr>
        <w:t> при этом что, рабочая</w:t>
      </w:r>
      <w:proofErr w:type="gramEnd"/>
      <w:r w:rsidRPr="00C75428">
        <w:rPr>
          <w:color w:val="000000"/>
          <w:sz w:val="28"/>
          <w:szCs w:val="28"/>
        </w:rPr>
        <w:t xml:space="preserve"> </w:t>
      </w:r>
      <w:proofErr w:type="gramStart"/>
      <w:r w:rsidRPr="00C75428">
        <w:rPr>
          <w:color w:val="000000"/>
          <w:sz w:val="28"/>
          <w:szCs w:val="28"/>
        </w:rPr>
        <w:t>нагрузка </w:t>
      </w:r>
      <w:proofErr w:type="spellStart"/>
      <w:r w:rsidRPr="00C75428">
        <w:rPr>
          <w:rStyle w:val="a4"/>
          <w:color w:val="000000"/>
          <w:sz w:val="28"/>
          <w:szCs w:val="28"/>
        </w:rPr>
        <w:t>N</w:t>
      </w:r>
      <w:r w:rsidRPr="00C75428">
        <w:rPr>
          <w:rStyle w:val="a4"/>
          <w:color w:val="000000"/>
          <w:sz w:val="28"/>
          <w:szCs w:val="28"/>
          <w:vertAlign w:val="subscript"/>
        </w:rPr>
        <w:t>д</w:t>
      </w:r>
      <w:proofErr w:type="spellEnd"/>
      <w:r w:rsidRPr="00C75428">
        <w:rPr>
          <w:color w:val="000000"/>
          <w:sz w:val="28"/>
          <w:szCs w:val="28"/>
        </w:rPr>
        <w:t> (динамическая) при скорости </w:t>
      </w:r>
      <w:r w:rsidRPr="00C75428">
        <w:rPr>
          <w:rStyle w:val="a4"/>
          <w:color w:val="000000"/>
          <w:sz w:val="28"/>
          <w:szCs w:val="28"/>
        </w:rPr>
        <w:t>V</w:t>
      </w:r>
      <w:r w:rsidRPr="00C75428">
        <w:rPr>
          <w:color w:val="000000"/>
          <w:sz w:val="28"/>
          <w:szCs w:val="28"/>
        </w:rPr>
        <w:t> =100 </w:t>
      </w:r>
      <w:r w:rsidRPr="00C75428">
        <w:rPr>
          <w:rStyle w:val="a4"/>
          <w:color w:val="000000"/>
          <w:sz w:val="28"/>
          <w:szCs w:val="28"/>
        </w:rPr>
        <w:t>км/ч</w:t>
      </w:r>
      <w:r w:rsidRPr="00C75428">
        <w:rPr>
          <w:color w:val="000000"/>
          <w:sz w:val="28"/>
          <w:szCs w:val="28"/>
        </w:rPr>
        <w:t> на рессорный комплект не превышает 0,25% от статической нагрузки, т.е. в данном случае 13,25 </w:t>
      </w:r>
      <w:r w:rsidRPr="00C75428">
        <w:rPr>
          <w:rStyle w:val="a4"/>
          <w:color w:val="000000"/>
          <w:sz w:val="28"/>
          <w:szCs w:val="28"/>
        </w:rPr>
        <w:t>кН</w:t>
      </w:r>
      <w:r w:rsidRPr="00C75428">
        <w:rPr>
          <w:color w:val="000000"/>
          <w:sz w:val="28"/>
          <w:szCs w:val="28"/>
        </w:rPr>
        <w:t>. Тогда суммарная нагрузка на рессору в этом случае составит </w:t>
      </w:r>
      <w:r w:rsidRPr="00C75428">
        <w:rPr>
          <w:rStyle w:val="a4"/>
          <w:color w:val="000000"/>
          <w:sz w:val="28"/>
          <w:szCs w:val="28"/>
        </w:rPr>
        <w:t>N</w:t>
      </w:r>
      <w:r w:rsidRPr="00C75428">
        <w:rPr>
          <w:rStyle w:val="a4"/>
          <w:color w:val="000000"/>
          <w:sz w:val="28"/>
          <w:szCs w:val="28"/>
          <w:vertAlign w:val="subscript"/>
        </w:rPr>
        <w:t>Σ</w:t>
      </w:r>
      <w:r w:rsidRPr="00C75428">
        <w:rPr>
          <w:color w:val="000000"/>
          <w:sz w:val="28"/>
          <w:szCs w:val="28"/>
        </w:rPr>
        <w:t>= </w:t>
      </w:r>
      <w:r w:rsidRPr="00C75428">
        <w:rPr>
          <w:rStyle w:val="a4"/>
          <w:color w:val="000000"/>
          <w:sz w:val="28"/>
          <w:szCs w:val="28"/>
        </w:rPr>
        <w:t>N</w:t>
      </w:r>
      <w:r w:rsidRPr="00C75428">
        <w:rPr>
          <w:rStyle w:val="a4"/>
          <w:color w:val="000000"/>
          <w:sz w:val="28"/>
          <w:szCs w:val="28"/>
          <w:vertAlign w:val="subscript"/>
        </w:rPr>
        <w:t>CT</w:t>
      </w:r>
      <w:r w:rsidRPr="00C75428">
        <w:rPr>
          <w:color w:val="000000"/>
          <w:sz w:val="28"/>
          <w:szCs w:val="28"/>
        </w:rPr>
        <w:t>+ </w:t>
      </w:r>
      <w:proofErr w:type="spellStart"/>
      <w:r w:rsidRPr="00C75428">
        <w:rPr>
          <w:rStyle w:val="a4"/>
          <w:color w:val="000000"/>
          <w:sz w:val="28"/>
          <w:szCs w:val="28"/>
        </w:rPr>
        <w:t>N</w:t>
      </w:r>
      <w:r w:rsidRPr="00C75428">
        <w:rPr>
          <w:rStyle w:val="a4"/>
          <w:color w:val="000000"/>
          <w:sz w:val="28"/>
          <w:szCs w:val="28"/>
          <w:vertAlign w:val="subscript"/>
        </w:rPr>
        <w:t>д</w:t>
      </w:r>
      <w:proofErr w:type="spellEnd"/>
      <w:r w:rsidRPr="00C75428">
        <w:rPr>
          <w:color w:val="000000"/>
          <w:sz w:val="28"/>
          <w:szCs w:val="28"/>
        </w:rPr>
        <w:t> = 53 + 13,25 = 66,25 </w:t>
      </w:r>
      <w:r w:rsidRPr="00C75428">
        <w:rPr>
          <w:rStyle w:val="a4"/>
          <w:color w:val="000000"/>
          <w:sz w:val="28"/>
          <w:szCs w:val="28"/>
        </w:rPr>
        <w:t>кН</w:t>
      </w:r>
      <w:r w:rsidRPr="00C75428">
        <w:rPr>
          <w:color w:val="000000"/>
          <w:sz w:val="28"/>
          <w:szCs w:val="28"/>
        </w:rPr>
        <w:t> и момент, приложенный к стержню торсиона, определится </w:t>
      </w:r>
      <w:proofErr w:type="spellStart"/>
      <w:r w:rsidRPr="00C75428">
        <w:rPr>
          <w:rStyle w:val="a4"/>
          <w:color w:val="000000"/>
          <w:sz w:val="28"/>
          <w:szCs w:val="28"/>
        </w:rPr>
        <w:t>М</w:t>
      </w:r>
      <w:r w:rsidRPr="00C75428">
        <w:rPr>
          <w:rStyle w:val="a4"/>
          <w:color w:val="000000"/>
          <w:sz w:val="28"/>
          <w:szCs w:val="28"/>
          <w:vertAlign w:val="subscript"/>
        </w:rPr>
        <w:t>кр</w:t>
      </w:r>
      <w:proofErr w:type="spellEnd"/>
      <w:r w:rsidRPr="00C75428">
        <w:rPr>
          <w:rStyle w:val="a4"/>
          <w:color w:val="000000"/>
          <w:sz w:val="28"/>
          <w:szCs w:val="28"/>
        </w:rPr>
        <w:t> =  N</w:t>
      </w:r>
      <w:r w:rsidRPr="00C75428">
        <w:rPr>
          <w:rStyle w:val="a4"/>
          <w:color w:val="000000"/>
          <w:sz w:val="28"/>
          <w:szCs w:val="28"/>
          <w:vertAlign w:val="subscript"/>
        </w:rPr>
        <w:t>Σ</w:t>
      </w:r>
      <w:r w:rsidRPr="00C75428">
        <w:rPr>
          <w:rStyle w:val="a4"/>
          <w:color w:val="000000"/>
          <w:sz w:val="28"/>
          <w:szCs w:val="28"/>
        </w:rPr>
        <w:t>l</w:t>
      </w:r>
      <w:r w:rsidRPr="00C75428">
        <w:rPr>
          <w:rStyle w:val="a4"/>
          <w:color w:val="000000"/>
          <w:sz w:val="28"/>
          <w:szCs w:val="28"/>
          <w:vertAlign w:val="subscript"/>
        </w:rPr>
        <w:t>1</w:t>
      </w:r>
      <w:r w:rsidRPr="00C75428">
        <w:rPr>
          <w:color w:val="000000"/>
          <w:sz w:val="28"/>
          <w:szCs w:val="28"/>
        </w:rPr>
        <w:t> = 66,25·0,3 = 19,8 </w:t>
      </w:r>
      <w:r w:rsidRPr="00C75428">
        <w:rPr>
          <w:rStyle w:val="a4"/>
          <w:color w:val="000000"/>
          <w:sz w:val="28"/>
          <w:szCs w:val="28"/>
        </w:rPr>
        <w:t>кН·м.</w:t>
      </w:r>
      <w:proofErr w:type="gramEnd"/>
    </w:p>
    <w:p w:rsidR="00C75428" w:rsidRPr="00C75428" w:rsidRDefault="00C75428" w:rsidP="00C754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5428">
        <w:rPr>
          <w:color w:val="000000"/>
          <w:sz w:val="28"/>
          <w:szCs w:val="28"/>
        </w:rPr>
        <w:t>    Для определения геометрических параметров гасителя колебаний и в частности силы давления струи </w:t>
      </w:r>
      <w:r w:rsidRPr="00C75428">
        <w:rPr>
          <w:rStyle w:val="a4"/>
          <w:color w:val="000000"/>
          <w:sz w:val="28"/>
          <w:szCs w:val="28"/>
        </w:rPr>
        <w:t>Р </w:t>
      </w:r>
      <w:r w:rsidRPr="00C75428">
        <w:rPr>
          <w:color w:val="000000"/>
          <w:sz w:val="28"/>
          <w:szCs w:val="28"/>
        </w:rPr>
        <w:t>рабочей жидкости на ребра</w:t>
      </w:r>
      <w:proofErr w:type="gramStart"/>
      <w:r w:rsidRPr="00C75428">
        <w:rPr>
          <w:color w:val="000000"/>
          <w:sz w:val="28"/>
          <w:szCs w:val="28"/>
        </w:rPr>
        <w:t>  </w:t>
      </w:r>
      <w:r w:rsidRPr="00C75428">
        <w:rPr>
          <w:rStyle w:val="a4"/>
          <w:color w:val="000000"/>
          <w:sz w:val="28"/>
          <w:szCs w:val="28"/>
        </w:rPr>
        <w:t>Д</w:t>
      </w:r>
      <w:proofErr w:type="gramEnd"/>
      <w:r w:rsidRPr="00C75428">
        <w:rPr>
          <w:color w:val="000000"/>
          <w:sz w:val="28"/>
          <w:szCs w:val="28"/>
        </w:rPr>
        <w:t> поршня, а также сил сопротивления его движению </w:t>
      </w:r>
      <w:r w:rsidRPr="00C75428">
        <w:rPr>
          <w:rStyle w:val="a4"/>
          <w:color w:val="000000"/>
          <w:sz w:val="28"/>
          <w:szCs w:val="28"/>
        </w:rPr>
        <w:t>F</w:t>
      </w:r>
      <w:r w:rsidRPr="00C75428">
        <w:rPr>
          <w:color w:val="000000"/>
          <w:sz w:val="28"/>
          <w:szCs w:val="28"/>
        </w:rPr>
        <w:t>, приняты следующие исходные данные. Рабочим телом является жидкость </w:t>
      </w:r>
      <w:r w:rsidRPr="00C75428">
        <w:rPr>
          <w:rStyle w:val="a4"/>
          <w:color w:val="000000"/>
          <w:sz w:val="28"/>
          <w:szCs w:val="28"/>
        </w:rPr>
        <w:t>АМГ</w:t>
      </w:r>
      <w:r w:rsidRPr="00C75428">
        <w:rPr>
          <w:color w:val="000000"/>
          <w:sz w:val="28"/>
          <w:szCs w:val="28"/>
        </w:rPr>
        <w:t> с плотностью </w:t>
      </w:r>
      <w:r w:rsidRPr="00C75428">
        <w:rPr>
          <w:rStyle w:val="a4"/>
          <w:color w:val="000000"/>
          <w:sz w:val="28"/>
          <w:szCs w:val="28"/>
        </w:rPr>
        <w:t> = 86,0 кгс·с</w:t>
      </w:r>
      <w:proofErr w:type="gramStart"/>
      <w:r w:rsidRPr="00C75428">
        <w:rPr>
          <w:rStyle w:val="a4"/>
          <w:color w:val="000000"/>
          <w:sz w:val="28"/>
          <w:szCs w:val="28"/>
          <w:vertAlign w:val="superscript"/>
        </w:rPr>
        <w:t>2</w:t>
      </w:r>
      <w:proofErr w:type="gramEnd"/>
      <w:r w:rsidRPr="00C75428">
        <w:rPr>
          <w:rStyle w:val="a4"/>
          <w:color w:val="000000"/>
          <w:sz w:val="28"/>
          <w:szCs w:val="28"/>
        </w:rPr>
        <w:t>/м</w:t>
      </w:r>
      <w:r w:rsidRPr="00C75428">
        <w:rPr>
          <w:rStyle w:val="a4"/>
          <w:color w:val="000000"/>
          <w:sz w:val="28"/>
          <w:szCs w:val="28"/>
          <w:vertAlign w:val="superscript"/>
        </w:rPr>
        <w:t>4</w:t>
      </w:r>
      <w:r w:rsidRPr="00C75428">
        <w:rPr>
          <w:color w:val="000000"/>
          <w:sz w:val="28"/>
          <w:szCs w:val="28"/>
        </w:rPr>
        <w:t>, кинематической вязкостью </w:t>
      </w:r>
      <w:proofErr w:type="spellStart"/>
      <w:r w:rsidRPr="00C75428">
        <w:rPr>
          <w:rStyle w:val="a4"/>
          <w:color w:val="000000"/>
          <w:sz w:val="28"/>
          <w:szCs w:val="28"/>
        </w:rPr>
        <w:t>n</w:t>
      </w:r>
      <w:proofErr w:type="spellEnd"/>
      <w:r w:rsidRPr="00C75428">
        <w:rPr>
          <w:rStyle w:val="a4"/>
          <w:color w:val="000000"/>
          <w:sz w:val="28"/>
          <w:szCs w:val="28"/>
        </w:rPr>
        <w:t> =14 ССТ = 14∙10м/с </w:t>
      </w:r>
      <w:r w:rsidRPr="00C75428">
        <w:rPr>
          <w:color w:val="000000"/>
          <w:sz w:val="28"/>
          <w:szCs w:val="28"/>
        </w:rPr>
        <w:t>и динамической вязкостью </w:t>
      </w:r>
      <w:proofErr w:type="spellStart"/>
      <w:r w:rsidRPr="00C75428">
        <w:rPr>
          <w:rStyle w:val="a4"/>
          <w:color w:val="000000"/>
          <w:sz w:val="28"/>
          <w:szCs w:val="28"/>
        </w:rPr>
        <w:t>m</w:t>
      </w:r>
      <w:proofErr w:type="spellEnd"/>
      <w:r w:rsidRPr="00C75428">
        <w:rPr>
          <w:color w:val="000000"/>
          <w:sz w:val="28"/>
          <w:szCs w:val="28"/>
        </w:rPr>
        <w:t> = 866×10</w:t>
      </w:r>
      <w:r w:rsidRPr="00C75428">
        <w:rPr>
          <w:color w:val="000000"/>
          <w:sz w:val="28"/>
          <w:szCs w:val="28"/>
          <w:vertAlign w:val="superscript"/>
        </w:rPr>
        <w:t>-6</w:t>
      </w:r>
      <w:r w:rsidRPr="00C75428">
        <w:rPr>
          <w:color w:val="000000"/>
          <w:sz w:val="28"/>
          <w:szCs w:val="28"/>
        </w:rPr>
        <w:t> </w:t>
      </w:r>
      <w:proofErr w:type="spellStart"/>
      <w:r w:rsidRPr="00C75428">
        <w:rPr>
          <w:rStyle w:val="a4"/>
          <w:color w:val="000000"/>
          <w:sz w:val="28"/>
          <w:szCs w:val="28"/>
        </w:rPr>
        <w:t>кгс×с</w:t>
      </w:r>
      <w:proofErr w:type="spellEnd"/>
      <w:r w:rsidRPr="00C75428">
        <w:rPr>
          <w:rStyle w:val="a4"/>
          <w:color w:val="000000"/>
          <w:sz w:val="28"/>
          <w:szCs w:val="28"/>
        </w:rPr>
        <w:t>/м</w:t>
      </w:r>
      <w:r w:rsidRPr="00C75428">
        <w:rPr>
          <w:rStyle w:val="a4"/>
          <w:color w:val="000000"/>
          <w:sz w:val="28"/>
          <w:szCs w:val="28"/>
          <w:vertAlign w:val="superscript"/>
        </w:rPr>
        <w:t>2</w:t>
      </w:r>
      <w:r w:rsidRPr="00C75428">
        <w:rPr>
          <w:color w:val="000000"/>
          <w:sz w:val="28"/>
          <w:szCs w:val="28"/>
        </w:rPr>
        <w:t>. Диаметр поршня, как и у серийного гасителя выберем равным</w:t>
      </w:r>
      <w:proofErr w:type="gramStart"/>
      <w:r w:rsidRPr="00C75428">
        <w:rPr>
          <w:color w:val="000000"/>
          <w:sz w:val="28"/>
          <w:szCs w:val="28"/>
        </w:rPr>
        <w:t> </w:t>
      </w:r>
      <w:r w:rsidRPr="00C75428">
        <w:rPr>
          <w:rStyle w:val="a4"/>
          <w:color w:val="000000"/>
          <w:sz w:val="28"/>
          <w:szCs w:val="28"/>
        </w:rPr>
        <w:t>Д</w:t>
      </w:r>
      <w:proofErr w:type="gramEnd"/>
      <w:r w:rsidRPr="00C75428">
        <w:rPr>
          <w:rStyle w:val="a4"/>
          <w:color w:val="000000"/>
          <w:sz w:val="28"/>
          <w:szCs w:val="28"/>
        </w:rPr>
        <w:t>=80 мм</w:t>
      </w:r>
      <w:r w:rsidRPr="00C75428">
        <w:rPr>
          <w:color w:val="000000"/>
          <w:sz w:val="28"/>
          <w:szCs w:val="28"/>
        </w:rPr>
        <w:t>, высота поршня </w:t>
      </w:r>
      <w:r w:rsidRPr="00C75428">
        <w:rPr>
          <w:rStyle w:val="a4"/>
          <w:color w:val="000000"/>
          <w:sz w:val="28"/>
          <w:szCs w:val="28"/>
        </w:rPr>
        <w:t>L</w:t>
      </w:r>
      <w:r w:rsidRPr="00C75428">
        <w:rPr>
          <w:rStyle w:val="a4"/>
          <w:color w:val="000000"/>
          <w:sz w:val="28"/>
          <w:szCs w:val="28"/>
          <w:vertAlign w:val="subscript"/>
        </w:rPr>
        <w:t>0</w:t>
      </w:r>
      <w:r w:rsidRPr="00C75428">
        <w:rPr>
          <w:color w:val="000000"/>
          <w:sz w:val="28"/>
          <w:szCs w:val="28"/>
        </w:rPr>
        <w:t> = 94 </w:t>
      </w:r>
      <w:r w:rsidRPr="00C75428">
        <w:rPr>
          <w:rStyle w:val="a4"/>
          <w:color w:val="000000"/>
          <w:sz w:val="28"/>
          <w:szCs w:val="28"/>
        </w:rPr>
        <w:t>мм</w:t>
      </w:r>
      <w:r w:rsidRPr="00C75428">
        <w:rPr>
          <w:color w:val="000000"/>
          <w:sz w:val="28"/>
          <w:szCs w:val="28"/>
        </w:rPr>
        <w:t>;  длина штока </w:t>
      </w:r>
      <w:proofErr w:type="spellStart"/>
      <w:r w:rsidRPr="00C75428">
        <w:rPr>
          <w:rStyle w:val="a4"/>
          <w:color w:val="000000"/>
          <w:sz w:val="28"/>
          <w:szCs w:val="28"/>
        </w:rPr>
        <w:t>l</w:t>
      </w:r>
      <w:r w:rsidRPr="00C75428">
        <w:rPr>
          <w:color w:val="000000"/>
          <w:sz w:val="28"/>
          <w:szCs w:val="28"/>
        </w:rPr>
        <w:t>=</w:t>
      </w:r>
      <w:proofErr w:type="spellEnd"/>
      <w:r w:rsidRPr="00C75428">
        <w:rPr>
          <w:color w:val="000000"/>
          <w:sz w:val="28"/>
          <w:szCs w:val="28"/>
        </w:rPr>
        <w:t xml:space="preserve"> 150 </w:t>
      </w:r>
      <w:r w:rsidRPr="00C75428">
        <w:rPr>
          <w:rStyle w:val="a4"/>
          <w:color w:val="000000"/>
          <w:sz w:val="28"/>
          <w:szCs w:val="28"/>
        </w:rPr>
        <w:t>мм</w:t>
      </w:r>
      <w:r w:rsidRPr="00C75428">
        <w:rPr>
          <w:color w:val="000000"/>
          <w:sz w:val="28"/>
          <w:szCs w:val="28"/>
        </w:rPr>
        <w:t>, число каналов в поршне  </w:t>
      </w:r>
      <w:proofErr w:type="spellStart"/>
      <w:r w:rsidRPr="00C75428">
        <w:rPr>
          <w:rStyle w:val="a4"/>
          <w:color w:val="000000"/>
          <w:sz w:val="28"/>
          <w:szCs w:val="28"/>
        </w:rPr>
        <w:t>n</w:t>
      </w:r>
      <w:proofErr w:type="spellEnd"/>
      <w:r w:rsidRPr="00C75428">
        <w:rPr>
          <w:color w:val="000000"/>
          <w:sz w:val="28"/>
          <w:szCs w:val="28"/>
        </w:rPr>
        <w:t> = 4, диаметр канала </w:t>
      </w:r>
      <w:proofErr w:type="spellStart"/>
      <w:r w:rsidRPr="00C75428">
        <w:rPr>
          <w:rStyle w:val="a4"/>
          <w:color w:val="000000"/>
          <w:sz w:val="28"/>
          <w:szCs w:val="28"/>
        </w:rPr>
        <w:t>d</w:t>
      </w:r>
      <w:r w:rsidRPr="00C75428">
        <w:rPr>
          <w:rStyle w:val="a4"/>
          <w:color w:val="000000"/>
          <w:sz w:val="28"/>
          <w:szCs w:val="28"/>
          <w:vertAlign w:val="subscript"/>
        </w:rPr>
        <w:t>K</w:t>
      </w:r>
      <w:proofErr w:type="spellEnd"/>
      <w:r w:rsidRPr="00C75428">
        <w:rPr>
          <w:rStyle w:val="a4"/>
          <w:color w:val="000000"/>
          <w:sz w:val="28"/>
          <w:szCs w:val="28"/>
          <w:vertAlign w:val="subscript"/>
        </w:rPr>
        <w:t>  </w:t>
      </w:r>
      <w:r w:rsidRPr="00C75428">
        <w:rPr>
          <w:color w:val="000000"/>
          <w:sz w:val="28"/>
          <w:szCs w:val="28"/>
        </w:rPr>
        <w:t>= 1,5 </w:t>
      </w:r>
      <w:r w:rsidRPr="00C75428">
        <w:rPr>
          <w:rStyle w:val="a4"/>
          <w:color w:val="000000"/>
          <w:sz w:val="28"/>
          <w:szCs w:val="28"/>
        </w:rPr>
        <w:t>мм</w:t>
      </w:r>
      <w:r w:rsidRPr="00C75428">
        <w:rPr>
          <w:color w:val="000000"/>
          <w:sz w:val="28"/>
          <w:szCs w:val="28"/>
        </w:rPr>
        <w:t>.</w:t>
      </w:r>
    </w:p>
    <w:p w:rsidR="00C75428" w:rsidRPr="00C75428" w:rsidRDefault="00C75428" w:rsidP="00C754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5428">
        <w:rPr>
          <w:color w:val="000000"/>
          <w:sz w:val="28"/>
          <w:szCs w:val="28"/>
        </w:rPr>
        <w:t xml:space="preserve">  Результаты исследования переданы в качестве экспресс отчёта службе технической политики управления ЮВЖД и рекомендуются как отечественным, так и зарубежным НИИ, конструкторским и производственным </w:t>
      </w:r>
      <w:proofErr w:type="spellStart"/>
      <w:r w:rsidRPr="00C75428">
        <w:rPr>
          <w:color w:val="000000"/>
          <w:sz w:val="28"/>
          <w:szCs w:val="28"/>
        </w:rPr>
        <w:t>структурамлокомотивостроения</w:t>
      </w:r>
      <w:proofErr w:type="gramStart"/>
      <w:r w:rsidRPr="00C75428">
        <w:rPr>
          <w:color w:val="000000"/>
          <w:sz w:val="28"/>
          <w:szCs w:val="28"/>
        </w:rPr>
        <w:t>,а</w:t>
      </w:r>
      <w:proofErr w:type="gramEnd"/>
      <w:r w:rsidRPr="00C75428">
        <w:rPr>
          <w:color w:val="000000"/>
          <w:sz w:val="28"/>
          <w:szCs w:val="28"/>
        </w:rPr>
        <w:t>также</w:t>
      </w:r>
      <w:proofErr w:type="spellEnd"/>
      <w:r w:rsidRPr="00C75428">
        <w:rPr>
          <w:color w:val="000000"/>
          <w:sz w:val="28"/>
          <w:szCs w:val="28"/>
        </w:rPr>
        <w:t xml:space="preserve"> вагоностроения для дальнейшего изучения и доработки предложенных конструкций выполненных по патентам RU2240929 и RU2301363  с целью возможного внедрения перспективной конструкции челюстной тележки тепловоза в практику.</w:t>
      </w:r>
    </w:p>
    <w:p w:rsidR="007E2DF1" w:rsidRPr="00C75428" w:rsidRDefault="007E2DF1" w:rsidP="00C754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C75428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5428"/>
    <w:rsid w:val="00074654"/>
    <w:rsid w:val="006540AF"/>
    <w:rsid w:val="007E2DF1"/>
    <w:rsid w:val="00845EEF"/>
    <w:rsid w:val="00A0268C"/>
    <w:rsid w:val="00B00DD4"/>
    <w:rsid w:val="00C75428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5428"/>
    <w:rPr>
      <w:i/>
      <w:iCs/>
    </w:rPr>
  </w:style>
  <w:style w:type="character" w:styleId="a5">
    <w:name w:val="Strong"/>
    <w:basedOn w:val="a0"/>
    <w:uiPriority w:val="22"/>
    <w:qFormat/>
    <w:rsid w:val="00C75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2019-03-29T14:38:00Z</dcterms:created>
  <dcterms:modified xsi:type="dcterms:W3CDTF">2019-03-29T14:40:00Z</dcterms:modified>
</cp:coreProperties>
</file>