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4B" w:rsidRPr="0097176C" w:rsidRDefault="009717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76C">
        <w:rPr>
          <w:rFonts w:ascii="Times New Roman" w:hAnsi="Times New Roman" w:cs="Times New Roman"/>
          <w:sz w:val="28"/>
          <w:szCs w:val="28"/>
        </w:rPr>
        <w:t>Моргачева</w:t>
      </w:r>
      <w:proofErr w:type="spellEnd"/>
      <w:r w:rsidRPr="0097176C">
        <w:rPr>
          <w:rFonts w:ascii="Times New Roman" w:hAnsi="Times New Roman" w:cs="Times New Roman"/>
          <w:sz w:val="28"/>
          <w:szCs w:val="28"/>
        </w:rPr>
        <w:t xml:space="preserve"> Н.В. Формирование методической компетентности будущего учителя естествознания посредством интерактивных технологий Елец: ЕГУ им. И.А. Бунина, 2019. – 164 с. ISBN 978-5-00151-072-7 тираж 500 экз.</w:t>
      </w:r>
    </w:p>
    <w:sectPr w:rsidR="0013774B" w:rsidRPr="0097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7176C"/>
    <w:rsid w:val="0013774B"/>
    <w:rsid w:val="0097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2020-04-16T03:30:00Z</dcterms:created>
  <dcterms:modified xsi:type="dcterms:W3CDTF">2020-04-16T03:30:00Z</dcterms:modified>
</cp:coreProperties>
</file>