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56C" w:rsidRPr="001F656C" w:rsidRDefault="001F656C" w:rsidP="001F656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656C">
        <w:rPr>
          <w:color w:val="000000"/>
          <w:sz w:val="28"/>
          <w:szCs w:val="28"/>
        </w:rPr>
        <w:t>В настоящее время в практике широко используется  тепловоз 2ТЭ116</w:t>
      </w:r>
      <w:r w:rsidR="00E42F0A">
        <w:rPr>
          <w:color w:val="000000"/>
          <w:sz w:val="28"/>
          <w:szCs w:val="28"/>
        </w:rPr>
        <w:t>,</w:t>
      </w:r>
      <w:bookmarkStart w:id="0" w:name="_GoBack"/>
      <w:bookmarkEnd w:id="0"/>
      <w:r w:rsidRPr="001F656C">
        <w:rPr>
          <w:color w:val="000000"/>
          <w:sz w:val="28"/>
          <w:szCs w:val="28"/>
        </w:rPr>
        <w:t>  состоящий из кузова, установленного на раме, которая с помощью опорно-возвращающих устройств взаимосвязана с рамами тележек. Рамы тележек также соединены с помощью шкворневого узла с кузовом тепловоза (рис.).</w:t>
      </w:r>
    </w:p>
    <w:p w:rsidR="001F656C" w:rsidRPr="001F656C" w:rsidRDefault="001F656C" w:rsidP="001F656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656C">
        <w:rPr>
          <w:color w:val="000000"/>
          <w:sz w:val="28"/>
          <w:szCs w:val="28"/>
        </w:rPr>
        <w:t xml:space="preserve">В то же время рамы тележек через рессорное подвешивание соединены с буксами колесных пар составляющих вместе с тяговыми электродвигателями колесно-моторные блоки, которые через опорные приливы соединены с рамами тележек Для повышения плавности хода тепловоза 2ТЭ116 в конструкции тележек предусмотрена установка фрикционных амортизаторов Несмотря на свою эффективность использования, такой тепловоз обладает существенным недостатком, заключающимся в том, что он имеет только одну степень рессорного подвешивания, причем последняя совместно с фрикционными амортизаторами не может в автоматическом режиме изменять свои </w:t>
      </w:r>
      <w:proofErr w:type="spellStart"/>
      <w:r w:rsidRPr="001F656C">
        <w:rPr>
          <w:color w:val="000000"/>
          <w:sz w:val="28"/>
          <w:szCs w:val="28"/>
        </w:rPr>
        <w:t>жесткостные</w:t>
      </w:r>
      <w:proofErr w:type="spellEnd"/>
      <w:r w:rsidRPr="001F656C">
        <w:rPr>
          <w:color w:val="000000"/>
          <w:sz w:val="28"/>
          <w:szCs w:val="28"/>
        </w:rPr>
        <w:t xml:space="preserve"> характеристики, а это не позволяет эффективно производить гашение колебаний экипажа при его движении, как на прямых, так кривых участках рельсового пути.</w:t>
      </w:r>
    </w:p>
    <w:p w:rsidR="001F656C" w:rsidRPr="001F656C" w:rsidRDefault="001F656C" w:rsidP="001F656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656C">
        <w:rPr>
          <w:color w:val="000000"/>
          <w:sz w:val="28"/>
          <w:szCs w:val="28"/>
        </w:rPr>
        <w:t xml:space="preserve">    Учитывая важность проблемы по обеспечению нормативной плавности хода тепловозного парка как отечественного, так и зарубежного, в Агропромышленном институте и СКБ ЕГУ им. И. А. Бунина совместно с кафедрой </w:t>
      </w:r>
      <w:proofErr w:type="spellStart"/>
      <w:r w:rsidRPr="001F656C">
        <w:rPr>
          <w:color w:val="000000"/>
          <w:sz w:val="28"/>
          <w:szCs w:val="28"/>
        </w:rPr>
        <w:t>ЭиЛ</w:t>
      </w:r>
      <w:proofErr w:type="spellEnd"/>
      <w:r w:rsidRPr="001F656C">
        <w:rPr>
          <w:color w:val="000000"/>
          <w:sz w:val="28"/>
          <w:szCs w:val="28"/>
        </w:rPr>
        <w:t xml:space="preserve"> МИИТ по заказу ВНИИКТИ (г. Коломна) проводятся широкомасштабная НИР, одним из разделов которой является изучение причин, связанных с использованием устройств обеспечивающих необходимую плавность хода локомотивов с разработкой конкретных предложений по обеспечению такого явления.</w:t>
      </w:r>
    </w:p>
    <w:p w:rsidR="001F656C" w:rsidRPr="001F656C" w:rsidRDefault="001F656C" w:rsidP="001F656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656C">
        <w:rPr>
          <w:color w:val="000000"/>
          <w:sz w:val="28"/>
          <w:szCs w:val="28"/>
        </w:rPr>
        <w:t>     По результатам проведенного анализа большого числа литературных и патентных как отечественных так и зарубежных источников разработана перспективная конструкция центрального подвешивания, которая признана изобретением (</w:t>
      </w:r>
      <w:r w:rsidRPr="001F656C">
        <w:rPr>
          <w:rStyle w:val="a4"/>
          <w:color w:val="000000"/>
          <w:sz w:val="28"/>
          <w:szCs w:val="28"/>
        </w:rPr>
        <w:t>RU2606409</w:t>
      </w:r>
      <w:r w:rsidRPr="001F656C">
        <w:rPr>
          <w:color w:val="000000"/>
          <w:sz w:val="28"/>
          <w:szCs w:val="28"/>
        </w:rPr>
        <w:t xml:space="preserve">), в котором описана  конструкция центрального подвешивания, позволяющая в автоматическом режиме, изменять свои </w:t>
      </w:r>
      <w:proofErr w:type="spellStart"/>
      <w:r w:rsidRPr="001F656C">
        <w:rPr>
          <w:color w:val="000000"/>
          <w:sz w:val="28"/>
          <w:szCs w:val="28"/>
        </w:rPr>
        <w:t>жесткостные</w:t>
      </w:r>
      <w:proofErr w:type="spellEnd"/>
      <w:r w:rsidRPr="001F656C">
        <w:rPr>
          <w:color w:val="000000"/>
          <w:sz w:val="28"/>
          <w:szCs w:val="28"/>
        </w:rPr>
        <w:t xml:space="preserve"> характеристики и тем самым эффективно позволяющая производить гашение колебаний кузова тепловоза. Этот эффект  достигается тем, что каждой из тележек в продольной их плоскости на одинаковом расстоянии относительно оси симметрии, проходящей через шкворни, расположены упругие стержни, одни концы которых снабжены  рычагами, взаимодействующими с днищем кузова, а другие шлицами, подвижно размещенные в опорах, жестко закрепленных на тележках, каждый из упругих стрежней своими шлицами взаимосвязан с ответными, выполненными в стаканах квадратного сечения, подвижно установленных в одних из опор, а во внутренних полостях стаканов размещены винтовые пружины сжатия, контактирующие как с внутренними их торцевыми стенками, так и с торцами упругих стержней, каждый из стаканов, имеющих внешние торцевые наклонные поверхности, взаимодействует с сухарями клиновой формы подвижно установленных в направляющих, жестко закрепленных на </w:t>
      </w:r>
      <w:r w:rsidRPr="001F656C">
        <w:rPr>
          <w:color w:val="000000"/>
          <w:sz w:val="28"/>
          <w:szCs w:val="28"/>
        </w:rPr>
        <w:lastRenderedPageBreak/>
        <w:t>тележках, причем, их поверхности, обращенные в сторону кузова, выполнены плоскими и контактируют с упомянутым днищем кузова тепловоза.</w:t>
      </w:r>
    </w:p>
    <w:p w:rsidR="001F656C" w:rsidRPr="001F656C" w:rsidRDefault="001F656C" w:rsidP="001F656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656C">
        <w:rPr>
          <w:color w:val="000000"/>
          <w:sz w:val="28"/>
          <w:szCs w:val="28"/>
        </w:rPr>
        <w:t>     Для выполнения численного расчета геометрических и кинематических параметров предложенного технического решения и исходя из того, что на одну тележку тепловоза действует реальная статическая нагрузка 67,8 </w:t>
      </w:r>
      <w:r w:rsidRPr="001F656C">
        <w:rPr>
          <w:rStyle w:val="a5"/>
          <w:color w:val="000000"/>
          <w:sz w:val="28"/>
          <w:szCs w:val="28"/>
        </w:rPr>
        <w:t>т</w:t>
      </w:r>
      <w:r w:rsidRPr="001F656C">
        <w:rPr>
          <w:color w:val="000000"/>
          <w:sz w:val="28"/>
          <w:szCs w:val="28"/>
        </w:rPr>
        <w:t>, то к рычагам 2 (рис.) каждого из упругих стержней будет приложена сила </w:t>
      </w:r>
      <w:proofErr w:type="spellStart"/>
      <w:r w:rsidRPr="001F656C">
        <w:rPr>
          <w:rStyle w:val="a5"/>
          <w:color w:val="000000"/>
          <w:sz w:val="28"/>
          <w:szCs w:val="28"/>
        </w:rPr>
        <w:t>N</w:t>
      </w:r>
      <w:r w:rsidRPr="001F656C">
        <w:rPr>
          <w:color w:val="000000"/>
          <w:sz w:val="28"/>
          <w:szCs w:val="28"/>
        </w:rPr>
        <w:t>ст</w:t>
      </w:r>
      <w:proofErr w:type="spellEnd"/>
      <w:r w:rsidRPr="001F656C">
        <w:rPr>
          <w:color w:val="000000"/>
          <w:sz w:val="28"/>
          <w:szCs w:val="28"/>
        </w:rPr>
        <w:t xml:space="preserve"> = 67,8/4 = 16,95 </w:t>
      </w:r>
      <w:r w:rsidRPr="001F656C">
        <w:rPr>
          <w:rStyle w:val="a5"/>
          <w:color w:val="000000"/>
          <w:sz w:val="28"/>
          <w:szCs w:val="28"/>
        </w:rPr>
        <w:t>т</w:t>
      </w:r>
      <w:r w:rsidRPr="001F656C">
        <w:rPr>
          <w:color w:val="000000"/>
          <w:sz w:val="28"/>
          <w:szCs w:val="28"/>
        </w:rPr>
        <w:t>. Тогда рабочая нагрузка </w:t>
      </w:r>
      <w:proofErr w:type="spellStart"/>
      <w:r w:rsidRPr="001F656C">
        <w:rPr>
          <w:rStyle w:val="a5"/>
          <w:color w:val="000000"/>
          <w:sz w:val="28"/>
          <w:szCs w:val="28"/>
        </w:rPr>
        <w:t>N</w:t>
      </w:r>
      <w:r w:rsidRPr="001F656C">
        <w:rPr>
          <w:rStyle w:val="a5"/>
          <w:color w:val="000000"/>
          <w:sz w:val="28"/>
          <w:szCs w:val="28"/>
          <w:vertAlign w:val="subscript"/>
        </w:rPr>
        <w:t>д</w:t>
      </w:r>
      <w:proofErr w:type="spellEnd"/>
      <w:r w:rsidRPr="001F656C">
        <w:rPr>
          <w:color w:val="000000"/>
          <w:sz w:val="28"/>
          <w:szCs w:val="28"/>
        </w:rPr>
        <w:t> (динамическая) к каждому из них с учётом коэффициента динамики 0,25% при скорости </w:t>
      </w:r>
      <w:r w:rsidRPr="001F656C">
        <w:rPr>
          <w:rStyle w:val="a5"/>
          <w:color w:val="000000"/>
          <w:sz w:val="28"/>
          <w:szCs w:val="28"/>
        </w:rPr>
        <w:t>V</w:t>
      </w:r>
      <w:r w:rsidRPr="001F656C">
        <w:rPr>
          <w:color w:val="000000"/>
          <w:sz w:val="28"/>
          <w:szCs w:val="28"/>
        </w:rPr>
        <w:t> =160 </w:t>
      </w:r>
      <w:r w:rsidRPr="001F656C">
        <w:rPr>
          <w:rStyle w:val="a5"/>
          <w:color w:val="000000"/>
          <w:sz w:val="28"/>
          <w:szCs w:val="28"/>
        </w:rPr>
        <w:t>км/ч</w:t>
      </w:r>
      <w:r w:rsidRPr="001F656C">
        <w:rPr>
          <w:color w:val="000000"/>
          <w:sz w:val="28"/>
          <w:szCs w:val="28"/>
        </w:rPr>
        <w:t> составит в данном случае 21,18 </w:t>
      </w:r>
      <w:r w:rsidRPr="001F656C">
        <w:rPr>
          <w:rStyle w:val="a5"/>
          <w:color w:val="000000"/>
          <w:sz w:val="28"/>
          <w:szCs w:val="28"/>
        </w:rPr>
        <w:t>т</w:t>
      </w:r>
      <w:r w:rsidRPr="001F656C">
        <w:rPr>
          <w:color w:val="000000"/>
          <w:sz w:val="28"/>
          <w:szCs w:val="28"/>
        </w:rPr>
        <w:t>. Следовательно, суммарная нагрузка на каждый из рычагов составит </w:t>
      </w:r>
      <w:r w:rsidRPr="001F656C">
        <w:rPr>
          <w:rStyle w:val="a5"/>
          <w:color w:val="000000"/>
          <w:sz w:val="28"/>
          <w:szCs w:val="28"/>
        </w:rPr>
        <w:t>N</w:t>
      </w:r>
      <w:r w:rsidRPr="001F656C">
        <w:rPr>
          <w:rStyle w:val="a5"/>
          <w:color w:val="000000"/>
          <w:sz w:val="28"/>
          <w:szCs w:val="28"/>
          <w:vertAlign w:val="subscript"/>
        </w:rPr>
        <w:t>Σ</w:t>
      </w:r>
      <w:r w:rsidRPr="001F656C">
        <w:rPr>
          <w:rStyle w:val="a5"/>
          <w:color w:val="000000"/>
          <w:sz w:val="28"/>
          <w:szCs w:val="28"/>
        </w:rPr>
        <w:t>= N</w:t>
      </w:r>
      <w:r w:rsidRPr="001F656C">
        <w:rPr>
          <w:rStyle w:val="a5"/>
          <w:color w:val="000000"/>
          <w:sz w:val="28"/>
          <w:szCs w:val="28"/>
          <w:vertAlign w:val="subscript"/>
        </w:rPr>
        <w:t>CT</w:t>
      </w:r>
      <w:r w:rsidRPr="001F656C">
        <w:rPr>
          <w:rStyle w:val="a5"/>
          <w:color w:val="000000"/>
          <w:sz w:val="28"/>
          <w:szCs w:val="28"/>
        </w:rPr>
        <w:t>+ </w:t>
      </w:r>
      <w:proofErr w:type="spellStart"/>
      <w:r w:rsidRPr="001F656C">
        <w:rPr>
          <w:rStyle w:val="a5"/>
          <w:color w:val="000000"/>
          <w:sz w:val="28"/>
          <w:szCs w:val="28"/>
        </w:rPr>
        <w:t>N</w:t>
      </w:r>
      <w:r w:rsidRPr="001F656C">
        <w:rPr>
          <w:rStyle w:val="a5"/>
          <w:color w:val="000000"/>
          <w:sz w:val="28"/>
          <w:szCs w:val="28"/>
          <w:vertAlign w:val="subscript"/>
        </w:rPr>
        <w:t>д</w:t>
      </w:r>
      <w:proofErr w:type="spellEnd"/>
      <w:r w:rsidRPr="001F656C">
        <w:rPr>
          <w:color w:val="000000"/>
          <w:sz w:val="28"/>
          <w:szCs w:val="28"/>
        </w:rPr>
        <w:t> = 16,95 + 4,23 = 21,18 </w:t>
      </w:r>
      <w:r w:rsidRPr="001F656C">
        <w:rPr>
          <w:rStyle w:val="a5"/>
          <w:color w:val="000000"/>
          <w:sz w:val="28"/>
          <w:szCs w:val="28"/>
        </w:rPr>
        <w:t>т</w:t>
      </w:r>
      <w:r w:rsidRPr="001F656C">
        <w:rPr>
          <w:color w:val="000000"/>
          <w:sz w:val="28"/>
          <w:szCs w:val="28"/>
        </w:rPr>
        <w:t>. Определим численное значение  крутящего момента момент приложенного к упругому стержню по зависимости </w:t>
      </w:r>
      <w:proofErr w:type="spellStart"/>
      <w:r w:rsidRPr="001F656C">
        <w:rPr>
          <w:rStyle w:val="a5"/>
          <w:color w:val="000000"/>
          <w:sz w:val="28"/>
          <w:szCs w:val="28"/>
        </w:rPr>
        <w:t>М</w:t>
      </w:r>
      <w:r w:rsidRPr="001F656C">
        <w:rPr>
          <w:rStyle w:val="a5"/>
          <w:color w:val="000000"/>
          <w:sz w:val="28"/>
          <w:szCs w:val="28"/>
          <w:vertAlign w:val="subscript"/>
        </w:rPr>
        <w:t>кр</w:t>
      </w:r>
      <w:proofErr w:type="spellEnd"/>
      <w:r w:rsidRPr="001F656C">
        <w:rPr>
          <w:rStyle w:val="a5"/>
          <w:color w:val="000000"/>
          <w:sz w:val="28"/>
          <w:szCs w:val="28"/>
        </w:rPr>
        <w:t> =  N</w:t>
      </w:r>
      <w:r w:rsidRPr="001F656C">
        <w:rPr>
          <w:rStyle w:val="a5"/>
          <w:color w:val="000000"/>
          <w:sz w:val="28"/>
          <w:szCs w:val="28"/>
          <w:vertAlign w:val="subscript"/>
        </w:rPr>
        <w:t>Σ</w:t>
      </w:r>
      <w:r w:rsidRPr="001F656C">
        <w:rPr>
          <w:rStyle w:val="a5"/>
          <w:color w:val="000000"/>
          <w:sz w:val="28"/>
          <w:szCs w:val="28"/>
        </w:rPr>
        <w:t>l</w:t>
      </w:r>
      <w:r w:rsidRPr="001F656C">
        <w:rPr>
          <w:rStyle w:val="a5"/>
          <w:color w:val="000000"/>
          <w:sz w:val="28"/>
          <w:szCs w:val="28"/>
          <w:vertAlign w:val="subscript"/>
        </w:rPr>
        <w:t>1</w:t>
      </w:r>
      <w:r w:rsidRPr="001F656C">
        <w:rPr>
          <w:color w:val="000000"/>
          <w:sz w:val="28"/>
          <w:szCs w:val="28"/>
        </w:rPr>
        <w:t> = 21,18·0,32 = 6,77 </w:t>
      </w:r>
      <w:proofErr w:type="spellStart"/>
      <w:r w:rsidRPr="001F656C">
        <w:rPr>
          <w:rStyle w:val="a5"/>
          <w:color w:val="000000"/>
          <w:sz w:val="28"/>
          <w:szCs w:val="28"/>
        </w:rPr>
        <w:t>т·м</w:t>
      </w:r>
      <w:proofErr w:type="spellEnd"/>
      <w:r w:rsidRPr="001F656C">
        <w:rPr>
          <w:rStyle w:val="a5"/>
          <w:color w:val="000000"/>
          <w:sz w:val="28"/>
          <w:szCs w:val="28"/>
        </w:rPr>
        <w:t>.</w:t>
      </w:r>
      <w:r w:rsidRPr="001F656C">
        <w:rPr>
          <w:color w:val="000000"/>
          <w:sz w:val="28"/>
          <w:szCs w:val="28"/>
        </w:rPr>
        <w:t xml:space="preserve">   В результате определены рациональные параметры и </w:t>
      </w:r>
      <w:proofErr w:type="gramStart"/>
      <w:r w:rsidRPr="001F656C">
        <w:rPr>
          <w:color w:val="000000"/>
          <w:sz w:val="28"/>
          <w:szCs w:val="28"/>
        </w:rPr>
        <w:t>подобраны  геометрические</w:t>
      </w:r>
      <w:proofErr w:type="gramEnd"/>
      <w:r w:rsidRPr="001F656C">
        <w:rPr>
          <w:color w:val="000000"/>
          <w:sz w:val="28"/>
          <w:szCs w:val="28"/>
        </w:rPr>
        <w:t xml:space="preserve"> характеристики возвратных пружин 10 - рабочая нагрузка пружины </w:t>
      </w:r>
      <w:proofErr w:type="spellStart"/>
      <w:r w:rsidRPr="001F656C">
        <w:rPr>
          <w:rStyle w:val="a5"/>
          <w:color w:val="000000"/>
          <w:sz w:val="28"/>
          <w:szCs w:val="28"/>
        </w:rPr>
        <w:t>Р</w:t>
      </w:r>
      <w:r w:rsidRPr="001F656C">
        <w:rPr>
          <w:rStyle w:val="a5"/>
          <w:color w:val="000000"/>
          <w:sz w:val="28"/>
          <w:szCs w:val="28"/>
          <w:vertAlign w:val="subscript"/>
        </w:rPr>
        <w:t>пр</w:t>
      </w:r>
      <w:proofErr w:type="spellEnd"/>
      <w:r w:rsidRPr="001F656C">
        <w:rPr>
          <w:color w:val="000000"/>
          <w:sz w:val="28"/>
          <w:szCs w:val="28"/>
        </w:rPr>
        <w:t> = 800 </w:t>
      </w:r>
      <w:r w:rsidRPr="001F656C">
        <w:rPr>
          <w:rStyle w:val="a5"/>
          <w:color w:val="000000"/>
          <w:sz w:val="28"/>
          <w:szCs w:val="28"/>
        </w:rPr>
        <w:t>Н</w:t>
      </w:r>
      <w:r w:rsidRPr="001F656C">
        <w:rPr>
          <w:color w:val="000000"/>
          <w:sz w:val="28"/>
          <w:szCs w:val="28"/>
        </w:rPr>
        <w:t>; наружный диаметр пружины </w:t>
      </w:r>
      <w:proofErr w:type="spellStart"/>
      <w:r w:rsidRPr="001F656C">
        <w:rPr>
          <w:rStyle w:val="a5"/>
          <w:color w:val="000000"/>
          <w:sz w:val="28"/>
          <w:szCs w:val="28"/>
        </w:rPr>
        <w:t>D</w:t>
      </w:r>
      <w:r w:rsidRPr="001F656C">
        <w:rPr>
          <w:rStyle w:val="a5"/>
          <w:color w:val="000000"/>
          <w:sz w:val="28"/>
          <w:szCs w:val="28"/>
          <w:vertAlign w:val="subscript"/>
        </w:rPr>
        <w:t>пр</w:t>
      </w:r>
      <w:proofErr w:type="spellEnd"/>
      <w:r w:rsidRPr="001F656C">
        <w:rPr>
          <w:color w:val="000000"/>
          <w:sz w:val="28"/>
          <w:szCs w:val="28"/>
        </w:rPr>
        <w:t> = 20 </w:t>
      </w:r>
      <w:r w:rsidRPr="001F656C">
        <w:rPr>
          <w:rStyle w:val="a5"/>
          <w:color w:val="000000"/>
          <w:sz w:val="28"/>
          <w:szCs w:val="28"/>
        </w:rPr>
        <w:t>мм</w:t>
      </w:r>
      <w:r w:rsidRPr="001F656C">
        <w:rPr>
          <w:color w:val="000000"/>
          <w:sz w:val="28"/>
          <w:szCs w:val="28"/>
        </w:rPr>
        <w:t>; диаметр проволоки витка пружины </w:t>
      </w:r>
      <w:proofErr w:type="spellStart"/>
      <w:r w:rsidRPr="001F656C">
        <w:rPr>
          <w:rStyle w:val="a5"/>
          <w:color w:val="000000"/>
          <w:sz w:val="28"/>
          <w:szCs w:val="28"/>
        </w:rPr>
        <w:t>d</w:t>
      </w:r>
      <w:r w:rsidRPr="001F656C">
        <w:rPr>
          <w:rStyle w:val="a5"/>
          <w:color w:val="000000"/>
          <w:sz w:val="28"/>
          <w:szCs w:val="28"/>
          <w:vertAlign w:val="subscript"/>
        </w:rPr>
        <w:t>в</w:t>
      </w:r>
      <w:proofErr w:type="spellEnd"/>
      <w:r w:rsidRPr="001F656C">
        <w:rPr>
          <w:color w:val="000000"/>
          <w:sz w:val="28"/>
          <w:szCs w:val="28"/>
        </w:rPr>
        <w:t>= 4 </w:t>
      </w:r>
      <w:r w:rsidRPr="001F656C">
        <w:rPr>
          <w:rStyle w:val="a5"/>
          <w:color w:val="000000"/>
          <w:sz w:val="28"/>
          <w:szCs w:val="28"/>
        </w:rPr>
        <w:t>мм</w:t>
      </w:r>
      <w:r w:rsidRPr="001F656C">
        <w:rPr>
          <w:color w:val="000000"/>
          <w:sz w:val="28"/>
          <w:szCs w:val="28"/>
        </w:rPr>
        <w:t>; длина пружины </w:t>
      </w:r>
      <w:r w:rsidRPr="001F656C">
        <w:rPr>
          <w:rStyle w:val="a5"/>
          <w:color w:val="000000"/>
          <w:sz w:val="28"/>
          <w:szCs w:val="28"/>
        </w:rPr>
        <w:t>h</w:t>
      </w:r>
      <w:r w:rsidRPr="001F656C">
        <w:rPr>
          <w:color w:val="000000"/>
          <w:sz w:val="28"/>
          <w:szCs w:val="28"/>
        </w:rPr>
        <w:t>= 200 </w:t>
      </w:r>
      <w:r w:rsidRPr="001F656C">
        <w:rPr>
          <w:rStyle w:val="a5"/>
          <w:color w:val="000000"/>
          <w:sz w:val="28"/>
          <w:szCs w:val="28"/>
        </w:rPr>
        <w:t>мм</w:t>
      </w:r>
      <w:r w:rsidRPr="001F656C">
        <w:rPr>
          <w:color w:val="000000"/>
          <w:sz w:val="28"/>
          <w:szCs w:val="28"/>
        </w:rPr>
        <w:t>; шаг пружины </w:t>
      </w:r>
      <w:r w:rsidRPr="001F656C">
        <w:rPr>
          <w:rStyle w:val="a5"/>
          <w:color w:val="000000"/>
          <w:sz w:val="28"/>
          <w:szCs w:val="28"/>
        </w:rPr>
        <w:t>t</w:t>
      </w:r>
      <w:r w:rsidRPr="001F656C">
        <w:rPr>
          <w:color w:val="000000"/>
          <w:sz w:val="28"/>
          <w:szCs w:val="28"/>
        </w:rPr>
        <w:t>= 8 </w:t>
      </w:r>
      <w:r w:rsidRPr="001F656C">
        <w:rPr>
          <w:rStyle w:val="a5"/>
          <w:color w:val="000000"/>
          <w:sz w:val="28"/>
          <w:szCs w:val="28"/>
        </w:rPr>
        <w:t>мм</w:t>
      </w:r>
      <w:r w:rsidRPr="001F656C">
        <w:rPr>
          <w:color w:val="000000"/>
          <w:sz w:val="28"/>
          <w:szCs w:val="28"/>
        </w:rPr>
        <w:t>; материал пружины – Сталь 60С2, пруток по ГОСТ 14959-79.</w:t>
      </w:r>
    </w:p>
    <w:p w:rsidR="001F656C" w:rsidRPr="001F656C" w:rsidRDefault="001F656C" w:rsidP="001F656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656C">
        <w:rPr>
          <w:color w:val="000000"/>
          <w:sz w:val="28"/>
          <w:szCs w:val="28"/>
        </w:rPr>
        <w:t xml:space="preserve">   Для автоматизации расчётов с применением ЭВМ, разработана программа с использованием языка </w:t>
      </w:r>
      <w:proofErr w:type="spellStart"/>
      <w:r w:rsidRPr="001F656C">
        <w:rPr>
          <w:color w:val="000000"/>
          <w:sz w:val="28"/>
          <w:szCs w:val="28"/>
        </w:rPr>
        <w:t>Delphi</w:t>
      </w:r>
      <w:proofErr w:type="spellEnd"/>
      <w:r w:rsidRPr="001F656C">
        <w:rPr>
          <w:color w:val="000000"/>
          <w:sz w:val="28"/>
          <w:szCs w:val="28"/>
        </w:rPr>
        <w:t xml:space="preserve"> позволяющая проектировать предложенное рессорное подвешивание для других типов локомотивов.</w:t>
      </w:r>
    </w:p>
    <w:p w:rsidR="001F656C" w:rsidRPr="001F656C" w:rsidRDefault="001F656C" w:rsidP="001F656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656C">
        <w:rPr>
          <w:color w:val="000000"/>
          <w:sz w:val="28"/>
          <w:szCs w:val="28"/>
        </w:rPr>
        <w:t xml:space="preserve">   Результаты исследования переданы руководству Елецкого участка Белгородского центра ОАО «РЖД», а </w:t>
      </w:r>
      <w:proofErr w:type="gramStart"/>
      <w:r w:rsidRPr="001F656C">
        <w:rPr>
          <w:color w:val="000000"/>
          <w:sz w:val="28"/>
          <w:szCs w:val="28"/>
        </w:rPr>
        <w:t>так же</w:t>
      </w:r>
      <w:proofErr w:type="gramEnd"/>
      <w:r w:rsidRPr="001F656C">
        <w:rPr>
          <w:color w:val="000000"/>
          <w:sz w:val="28"/>
          <w:szCs w:val="28"/>
        </w:rPr>
        <w:t xml:space="preserve"> рекомендуются отечественным и зарубежным научным и производственным структурам проектирующим, изготавливающим и модернизирующим различные по назначению магистральные тепловозы для возможного внедрения разработки в практику.</w:t>
      </w:r>
    </w:p>
    <w:p w:rsidR="004B0D3B" w:rsidRPr="001F656C" w:rsidRDefault="004B0D3B" w:rsidP="001F65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B0D3B" w:rsidRPr="001F6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56C"/>
    <w:rsid w:val="001F656C"/>
    <w:rsid w:val="004B0D3B"/>
    <w:rsid w:val="00E4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CABD7"/>
  <w15:chartTrackingRefBased/>
  <w15:docId w15:val="{0615DBCD-EF30-4785-BEF7-B274239F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6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656C"/>
    <w:rPr>
      <w:b/>
      <w:bCs/>
    </w:rPr>
  </w:style>
  <w:style w:type="character" w:styleId="a5">
    <w:name w:val="Emphasis"/>
    <w:basedOn w:val="a0"/>
    <w:uiPriority w:val="20"/>
    <w:qFormat/>
    <w:rsid w:val="001F65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2020-10-04T16:13:00Z</dcterms:created>
  <dcterms:modified xsi:type="dcterms:W3CDTF">2020-10-04T16:22:00Z</dcterms:modified>
</cp:coreProperties>
</file>