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Елецкий государственный университет им. И.А. Бунина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4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644"/>
      </w:tblGrid>
      <w:tr>
        <w:trPr>
          <w:trHeight w:val="1585" w:hRule="atLeast"/>
        </w:trPr>
        <w:tc>
          <w:tcPr>
            <w:tcW w:w="4644" w:type="dxa"/>
            <w:tcBorders/>
          </w:tcPr>
          <w:p>
            <w:pPr>
              <w:pStyle w:val="Normal"/>
              <w:spacing w:lineRule="auto" w:line="36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6821" w:leader="none"/>
        </w:tabs>
        <w:spacing w:lineRule="exact" w:line="355" w:before="0" w:after="0"/>
        <w:ind w:firstLine="434" w:left="4536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821" w:leader="none"/>
        </w:tabs>
        <w:spacing w:lineRule="exact" w:line="355" w:before="0" w:after="0"/>
        <w:ind w:firstLine="434" w:left="4536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821" w:leader="none"/>
        </w:tabs>
        <w:spacing w:lineRule="exact" w:line="355" w:before="0" w:after="0"/>
        <w:ind w:firstLine="434" w:left="4536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821" w:leader="none"/>
        </w:tabs>
        <w:spacing w:lineRule="exact" w:line="355" w:before="0" w:after="0"/>
        <w:ind w:firstLine="434" w:left="4536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821" w:leader="none"/>
        </w:tabs>
        <w:spacing w:lineRule="exact" w:line="355" w:before="0" w:after="0"/>
        <w:ind w:firstLine="434" w:left="4536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вступительного испытания по научной специальности программы подготовки научно-педагогических кадров в аспирантуре</w:t>
      </w:r>
    </w:p>
    <w:p>
      <w:pPr>
        <w:pStyle w:val="NormalWeb"/>
        <w:jc w:val="center"/>
        <w:rPr>
          <w:rFonts w:cs="Arial"/>
          <w:b/>
          <w:color w:val="222222"/>
          <w:sz w:val="28"/>
          <w:szCs w:val="28"/>
        </w:rPr>
      </w:pPr>
      <w:r>
        <w:rPr>
          <w:b/>
          <w:sz w:val="28"/>
        </w:rPr>
        <w:t>1</w:t>
      </w:r>
      <w:r>
        <w:rPr>
          <w:b/>
          <w:sz w:val="28"/>
        </w:rPr>
        <w:t>.2.</w:t>
      </w:r>
      <w:r>
        <w:rPr>
          <w:b/>
          <w:sz w:val="28"/>
        </w:rPr>
        <w:t>1</w:t>
      </w:r>
      <w:r>
        <w:rPr>
          <w:b/>
          <w:sz w:val="28"/>
        </w:rPr>
        <w:t xml:space="preserve">. </w:t>
      </w:r>
      <w:r>
        <w:rPr>
          <w:b/>
          <w:sz w:val="28"/>
        </w:rPr>
        <w:t>Искусственный интеллект и машинное обучение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345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Елец – 2023</w:t>
      </w:r>
    </w:p>
    <w:p>
      <w:pPr>
        <w:pStyle w:val="Normal"/>
        <w:shd w:val="clear" w:color="auto" w:fill="FFFFFF"/>
        <w:spacing w:before="0" w:after="0"/>
        <w:ind w:hanging="266" w:left="3413" w:right="345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вступительного экзамена в аспирантуру по научной специальности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Искусственный интеллект и машинное обучение</w:t>
      </w:r>
      <w:r>
        <w:rPr>
          <w:sz w:val="28"/>
          <w:szCs w:val="28"/>
        </w:rPr>
        <w:t xml:space="preserve"> составлена в соответствии с федеральными государственными требованиями и включает основные разделы теории искусственного интеллекта, машинного обучения, программирования, необходимые для последующего освоения программы подготовки научно-педагогических кадров в аспирантуре по данной специальности.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экзамена позволяет выявить уровень подготовленности абитуриентов к научно-исследовательской деятельности, способность к анализу и оценке современных научных достижений, умение применять методы решения исследовательских и практических задач, навыки системного и критического мышления, необходимые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предполагают ответ абитуриента на вопросы билета. В программе приведен примерный перечень вопросов.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Алгебра множеств, теория графов и математическая логика.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Нечеткие множества и нечеткая логика. </w:t>
      </w:r>
    </w:p>
    <w:p>
      <w:pPr>
        <w:pStyle w:val="NoSpacing"/>
        <w:ind w:firstLine="708"/>
        <w:jc w:val="both"/>
        <w:rPr>
          <w:b/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Алгебра множеств. Алгебра отношений. Бинарные отношения и их свойства. Отношения эквивалентности, отношение порядка. Графы: виды, способы представления, маршруты в графах, операции над графами, изоморфизм графов. Деревья и их свойства. Понятие формальной системы, исчисление, формальный вывод. Полнота, непротиворечивость, разрешимость формальной системы. Исчисление высказываний, исчисление предикатов. Булева алгебра. Логика предикатов: свободные и связанные переменные, эквивалентные преобразования. Методы оптимального кодирования информации. Формальные алгоритмические модели. </w:t>
      </w:r>
      <w:r>
        <w:rPr>
          <w:sz w:val="28"/>
          <w:szCs w:val="28"/>
        </w:rPr>
        <w:t xml:space="preserve">Нечеткие множества. Основные характеристики нечетких множеств. Функции принадлежности. Операции над нечеткими множествами. Нечеткая и лингвистическая переменные. Операции над нечеткими числами. Нечеткие отношения. Операции над нечеткими отношениями. </w:t>
      </w:r>
    </w:p>
    <w:p>
      <w:pPr>
        <w:pStyle w:val="NoSpacing"/>
        <w:ind w:firstLine="708"/>
        <w:jc w:val="both"/>
        <w:rPr>
          <w:rFonts w:eastAsia="Calibri" w:eastAsiaTheme="minorHAnsi"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Spacing"/>
        <w:ind w:firstLine="708"/>
        <w:jc w:val="both"/>
        <w:rPr>
          <w:rFonts w:eastAsia="Calibri" w:eastAsiaTheme="minorHAnsi"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Раздел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2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. Интеллектуальный анализ данных. </w:t>
      </w:r>
    </w:p>
    <w:p>
      <w:pPr>
        <w:pStyle w:val="NoSpacing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Большие данные (</w:t>
      </w:r>
      <w:r>
        <w:rPr>
          <w:rFonts w:eastAsia="Calibri" w:eastAsiaTheme="minorHAnsi"/>
          <w:sz w:val="28"/>
          <w:szCs w:val="28"/>
          <w:lang w:val="en-US" w:eastAsia="en-US"/>
        </w:rPr>
        <w:t>Big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val="en-US" w:eastAsia="en-US"/>
        </w:rPr>
        <w:t>Data</w:t>
      </w:r>
      <w:r>
        <w:rPr>
          <w:rFonts w:eastAsia="Calibri" w:eastAsiaTheme="minorHAnsi"/>
          <w:sz w:val="28"/>
          <w:szCs w:val="28"/>
          <w:lang w:eastAsia="en-US"/>
        </w:rPr>
        <w:t>). Извлечение знаний из данных. Интеллектуальный анализ данных (</w:t>
      </w:r>
      <w:r>
        <w:rPr>
          <w:rFonts w:eastAsia="Calibri" w:eastAsiaTheme="minorHAnsi"/>
          <w:sz w:val="28"/>
          <w:szCs w:val="28"/>
          <w:lang w:val="en-US" w:eastAsia="en-US"/>
        </w:rPr>
        <w:t>Data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val="en-US" w:eastAsia="en-US"/>
        </w:rPr>
        <w:t>Mining</w:t>
      </w:r>
      <w:r>
        <w:rPr>
          <w:rFonts w:eastAsia="Calibri" w:eastAsiaTheme="minorHAnsi"/>
          <w:sz w:val="28"/>
          <w:szCs w:val="28"/>
          <w:lang w:eastAsia="en-US"/>
        </w:rPr>
        <w:t xml:space="preserve">). Базы знаний и системы поддержки принятия решения. Современные базы данных и знаний. Современные методы организации хранения данных и доступа к ним. </w:t>
      </w:r>
      <w:r>
        <w:rPr>
          <w:rFonts w:eastAsia="Calibri" w:eastAsiaTheme="minorHAnsi"/>
          <w:sz w:val="28"/>
          <w:szCs w:val="28"/>
          <w:lang w:eastAsia="en-US"/>
        </w:rPr>
        <w:t>Реляционная модель данных. Применение реляционных СУБД в машинном обучении и анализе данных.</w:t>
      </w:r>
      <w:r>
        <w:rPr>
          <w:rFonts w:eastAsia="Calibri" w:eastAsiaTheme="minorHAnsi"/>
          <w:sz w:val="28"/>
          <w:szCs w:val="28"/>
          <w:lang w:eastAsia="en-US"/>
        </w:rPr>
        <w:t xml:space="preserve"> Применение знаний в обучении. Формирование набора данных для обучения, включая планирование эксперимента. Обучение на основе анализа данных. Индуктивное обучение. Деревья решений. Статистические методы обучения. Линейные модели. Наивные байесовские модели. Обучение с помощью метода максимального правдоподобия: дискретные и непрерывные модели. </w:t>
      </w:r>
    </w:p>
    <w:p>
      <w:pPr>
        <w:pStyle w:val="Normal"/>
        <w:jc w:val="center"/>
        <w:rPr>
          <w:rFonts w:eastAsia="Calibri" w:eastAsiaTheme="minorHAnsi"/>
          <w:b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 w:eastAsiaTheme="minorHAnsi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 w:eastAsiaTheme="minorHAnsi"/>
          <w:b/>
          <w:color w:val="000000"/>
          <w:sz w:val="28"/>
          <w:szCs w:val="28"/>
          <w:lang w:eastAsia="en-US"/>
        </w:rPr>
        <w:t>3. Модели и алгоритмы искусственного интеллекта.</w:t>
      </w:r>
    </w:p>
    <w:p>
      <w:pPr>
        <w:pStyle w:val="NoSpacing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Нейронные сети. Основные элементы структуры. Алгоритмы обучения. Машинное обучение. </w:t>
      </w:r>
      <w:r>
        <w:rPr>
          <w:rFonts w:eastAsia="Calibri" w:eastAsiaTheme="minorHAnsi"/>
          <w:sz w:val="28"/>
          <w:szCs w:val="28"/>
          <w:lang w:eastAsia="en-US"/>
        </w:rPr>
        <w:t>Обучение с учителем. Обучение без учителя. Обучение с подкреплением.</w:t>
      </w:r>
      <w:r>
        <w:rPr>
          <w:rFonts w:eastAsia="Calibri" w:eastAsiaTheme="minorHAnsi"/>
          <w:sz w:val="28"/>
          <w:szCs w:val="28"/>
          <w:lang w:eastAsia="en-US"/>
        </w:rPr>
        <w:t xml:space="preserve"> Задач</w:t>
      </w:r>
      <w:r>
        <w:rPr>
          <w:rFonts w:eastAsia="Calibri" w:eastAsiaTheme="minorHAnsi"/>
          <w:sz w:val="28"/>
          <w:szCs w:val="28"/>
          <w:lang w:eastAsia="en-US"/>
        </w:rPr>
        <w:t>а</w:t>
      </w:r>
      <w:r>
        <w:rPr>
          <w:rFonts w:eastAsia="Calibri" w:eastAsiaTheme="minorHAnsi"/>
          <w:sz w:val="28"/>
          <w:szCs w:val="28"/>
          <w:lang w:eastAsia="en-US"/>
        </w:rPr>
        <w:t xml:space="preserve"> классификации </w:t>
      </w:r>
      <w:r>
        <w:rPr>
          <w:rFonts w:eastAsia="Calibri" w:eastAsiaTheme="minorHAnsi"/>
          <w:sz w:val="28"/>
          <w:szCs w:val="28"/>
          <w:lang w:eastAsia="en-US"/>
        </w:rPr>
        <w:t>в машинном обучении.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Регрессионный анализ. Задача кластеризации данных</w:t>
      </w:r>
      <w:r>
        <w:rPr>
          <w:rFonts w:eastAsia="Calibri" w:eastAsiaTheme="minorHAnsi"/>
          <w:sz w:val="28"/>
          <w:szCs w:val="28"/>
          <w:lang w:eastAsia="en-US"/>
        </w:rPr>
        <w:t xml:space="preserve">. Линейные классификаторы. Метод главных компонент. Алгоритм k-средних, алгоритм c-средних. Понижение размерности данных. Нечеткие и нейронечеткие алгоритмы машинного обучения. </w:t>
      </w:r>
      <w:r>
        <w:rPr>
          <w:rFonts w:eastAsia="Calibri" w:eastAsiaTheme="minorHAnsi"/>
          <w:sz w:val="28"/>
          <w:szCs w:val="28"/>
          <w:lang w:eastAsia="en-US"/>
        </w:rPr>
        <w:t>Задача распознавания образов. Выделение признаков. Операции свертки и развертки на изображениях. Сверточные нейронные сети. Морфологические операции над изображениями. Обработка изображений с помощью искусственных нейронных сетей. Генеративно-состязательное обучение. Задача NLP. Токенизация в машинном обучении. Анализ временных рядов. Метод скользящего среднего.</w:t>
      </w:r>
    </w:p>
    <w:p>
      <w:pPr>
        <w:pStyle w:val="NoSpacing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Spacing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Раздел 4. Оптимизация в задачах машинного обучения.</w:t>
      </w:r>
    </w:p>
    <w:p>
      <w:pPr>
        <w:pStyle w:val="NoSpacing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Задача оптимизации параметризованных систем. Непрерывная и дискретная оптимизация. Условная и безусловная оптимизация. Комбинаторная оптимизация. Понятие линейного программирования. Понятие нелинейного программирования. Задача поиска кратчайшего пути на графе. Алгоритм Дейкстры.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Понятие эвристического алгоритма. </w:t>
      </w:r>
      <w:r>
        <w:rPr>
          <w:rFonts w:eastAsia="Calibri" w:eastAsiaTheme="minorHAnsi"/>
          <w:sz w:val="28"/>
          <w:szCs w:val="28"/>
          <w:lang w:eastAsia="en-US"/>
        </w:rPr>
        <w:t xml:space="preserve">Глобальная параметрическая оптимизация. Алгоритм имитации отжига. Генетические алгоритмы. Гармонический поиск. Метод роя частиц. Муравьиный алгоритм. </w:t>
      </w:r>
      <w:r>
        <w:rPr>
          <w:rFonts w:eastAsia="Calibri" w:eastAsiaTheme="minorHAnsi"/>
          <w:sz w:val="28"/>
          <w:szCs w:val="28"/>
          <w:lang w:eastAsia="en-US"/>
        </w:rPr>
        <w:t>Алгоритм стаи птиц, алгоритм серых волков.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Жадный поиск.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Т</w:t>
      </w:r>
      <w:r>
        <w:rPr>
          <w:rFonts w:eastAsia="Calibri" w:eastAsiaTheme="minorHAnsi"/>
          <w:b/>
          <w:bCs/>
          <w:color w:val="000000"/>
          <w:sz w:val="28"/>
          <w:szCs w:val="28"/>
          <w:lang w:eastAsia="en-US"/>
        </w:rPr>
        <w:t xml:space="preserve">ехнологии </w:t>
      </w:r>
      <w:r>
        <w:rPr>
          <w:rFonts w:eastAsia="Calibri" w:eastAsiaTheme="minorHAnsi"/>
          <w:b/>
          <w:bCs/>
          <w:color w:val="000000"/>
          <w:sz w:val="28"/>
          <w:szCs w:val="28"/>
          <w:lang w:eastAsia="en-US"/>
        </w:rPr>
        <w:t>разработка программного обеспечения.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Принципы технологии разработки программного обеспечения. Жизненный цикл программного обеспечения, планирование и управление разработкой программных проектов, управление коллективами программистов. Пакеты вычислительного назначения. Пакеты для автоматизированного проектирования. Пакеты прикладных программ и программные системы, применяемые в вычислительном эксперименте. Высокоуровневые я</w:t>
      </w:r>
      <w:r>
        <w:rPr>
          <w:sz w:val="28"/>
          <w:szCs w:val="28"/>
        </w:rPr>
        <w:t>зыки программирования. Операторы, конструкции, модули, основные принципы составления программ на языке программирования высокого уровня. Программное обеспечение для тензорных вычислений. Векторизация программного кода, использование потоков и процессов. Технологии GPGPU и TPU. Критерии эффективности разработанного программного обеспечения.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Style w:val="Rvts1410"/>
          <w:b/>
          <w:sz w:val="28"/>
          <w:szCs w:val="28"/>
        </w:rPr>
      </w:pPr>
      <w:r>
        <w:rPr>
          <w:rStyle w:val="Rvts1410"/>
          <w:b/>
          <w:sz w:val="28"/>
          <w:szCs w:val="28"/>
          <w:lang w:val="en-US"/>
        </w:rPr>
        <w:t>III</w:t>
      </w:r>
      <w:r>
        <w:rPr>
          <w:rStyle w:val="Rvts1410"/>
          <w:b/>
          <w:sz w:val="28"/>
          <w:szCs w:val="28"/>
        </w:rPr>
        <w:t>. ПРИМЕРНЫЕ ВОПРОСЫ К ЭКЗАМЕНУ</w:t>
      </w:r>
    </w:p>
    <w:p>
      <w:pPr>
        <w:pStyle w:val="ListParagraph"/>
        <w:numPr>
          <w:ilvl w:val="0"/>
          <w:numId w:val="0"/>
        </w:numPr>
        <w:spacing w:before="0" w:after="84"/>
        <w:ind w:hanging="0" w:left="0"/>
        <w:contextualSpacing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множеств. Алгебра отношений.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Бинарные отношения и их свойства. Отношения эквивалентности, отношение порядка.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Графы: виды, способы представления, маршруты в графах, операции над графами, изоморфизм графов.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Деревья и их свойства.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формальной системы, исчисление, формальный вывод. Полнота, непротиворечивость, разрешимость формальной системы.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высказываний, исчисление предикатов.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Булева алгебра.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предикатов: свободные и связанные переменные, эквивалентные преобразования.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оптимального кодирования информации.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Формальные алгоритмические модели.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Нечеткие множества. Основные характеристики нечетких множеств. Функции принадлежности.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над нечеткими множествами.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Нечеткая и лингвистическая переменные. Операции над нечеткими числами.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Нечеткие отношения. Операции над нечеткими отношениями. 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данные (Big Data). Извлечение знаний из данных.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Интеллектуальный анализ данных (Data Mining).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Базы знаний и системы поддержки принятия решения.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базы данных и знаний. Современные методы организации хранения данных и доступа к ним.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Реляционная модель данных.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реляционных СУБД в машинном обучении и анализе данных.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знаний в обучении.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набора данных для обучения, включая планирование эксперимента.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на основе анализа данных.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Индуктивное обучение. Деревья решений.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методы обучения.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Линейные модели.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Наивные байесовские модели.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помощью метода максимального правдоподобия: дискретные и непрерывные модели.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Нейронные сети. Основные элементы структуры.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Алгоритмы обучения </w:t>
      </w:r>
      <w:r>
        <w:rPr>
          <w:sz w:val="28"/>
          <w:szCs w:val="28"/>
        </w:rPr>
        <w:t>в ИИ</w:t>
      </w:r>
      <w:r>
        <w:rPr>
          <w:sz w:val="28"/>
          <w:szCs w:val="28"/>
        </w:rPr>
        <w:t xml:space="preserve">. Машинное обучение.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учителем.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без учителя.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 подкреплением.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классификации в машинном обучении.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Регрессионный анализ. Задача кластеризации данных.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Линейные классификаторы.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главных компонент.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k-средних, алгоритм c-средних.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Понижение размерности данных.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Нечеткие и нейронечеткие алгоритмы машинного обучения.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распознавания образов.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признаков. Операции свертки и развертки на изображениях.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Сверточные нейронные сети.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Морфологические операции над изображениями.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изображений с помощью искусственных нейронных сетей.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Генеративно-состязательное обучение.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NLP.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Токенизация в машинном обучении.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временных рядов. Метод скользящего среднего.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оптимизации параметризованных систем.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Непрерывная и дискретная оптимизация.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Условная и безусловная оптимизация.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Комбинаторная оптимизация.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линейного программирования.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нелинейного программирования.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поиска кратчайшего пути на графе. Алгоритм Дейкстры.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эвристического алгоритма.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Глобальная параметрическая оптимизация.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имитации отжига. Генетические алгоритмы. Гармонический поиск.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роя частиц. Муравьиный алгоритм.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Алгоритм стаи птиц, алгоритм серых волков. Жадный поиск.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технологии разработки программного обеспечения.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Жизненный цикл программного обеспечения, планирование и управление разработкой программных проектов, управление коллективами программистов.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Пакеты вычислительного назначения. Пакеты прикладных программ и программные системы, применяемые в вычислительном эксперименте.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Высокоуровневые языки программирования.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Операторы, конструкции, модули, основные принципы составления программ на языке программирования высокого уровня.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для тензорных вычислений.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Векторизация программного кода, использование потоков и процессов. </w:t>
      </w:r>
    </w:p>
    <w:p>
      <w:pPr>
        <w:pStyle w:val="ListParagraph"/>
        <w:numPr>
          <w:ilvl w:val="0"/>
          <w:numId w:val="1"/>
        </w:numPr>
        <w:spacing w:before="0" w:after="84"/>
        <w:ind w:firstLine="36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GPGPU и TPU. Критерии эффективности разработанного программного обеспечения. </w:t>
      </w:r>
    </w:p>
    <w:p>
      <w:pPr>
        <w:pStyle w:val="Normal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</w:p>
    <w:p>
      <w:pPr>
        <w:pStyle w:val="Normal"/>
        <w:widowControl w:val="false"/>
        <w:ind w:firstLine="708"/>
        <w:jc w:val="center"/>
        <w:rPr>
          <w:rFonts w:ascii="Cambria" w:hAnsi="Cambria" w:eastAsia="Lucida Sans Unicode" w:cs="Mangal"/>
          <w:b/>
          <w:kern w:val="2"/>
          <w:sz w:val="26"/>
          <w:lang w:eastAsia="zh-CN" w:bidi="hi-IN"/>
        </w:rPr>
      </w:pPr>
      <w:r>
        <w:rPr>
          <w:rFonts w:eastAsia="Lucida Sans Unicode" w:cs="Calibri"/>
          <w:b/>
          <w:kern w:val="2"/>
          <w:sz w:val="28"/>
          <w:szCs w:val="28"/>
          <w:lang w:val="en-US" w:eastAsia="zh-CN" w:bidi="hi-IN"/>
        </w:rPr>
        <w:t>IV</w:t>
      </w:r>
      <w:r>
        <w:rPr>
          <w:rFonts w:eastAsia="Lucida Sans Unicode" w:cs="Calibri"/>
          <w:b/>
          <w:kern w:val="2"/>
          <w:sz w:val="28"/>
          <w:szCs w:val="28"/>
          <w:lang w:eastAsia="zh-CN" w:bidi="hi-IN"/>
        </w:rPr>
        <w:t>. ОРГАНИЗАЦИЯ ВСТУПИТЕЛЬНОГО ИСПЫТАНИЯ</w:t>
      </w:r>
    </w:p>
    <w:p>
      <w:pPr>
        <w:pStyle w:val="Normal"/>
        <w:widowControl w:val="false"/>
        <w:jc w:val="both"/>
        <w:rPr>
          <w:rFonts w:ascii="Cambria" w:hAnsi="Cambria" w:eastAsia="Lucida Sans Unicode" w:cs="Mangal"/>
          <w:kern w:val="2"/>
          <w:sz w:val="26"/>
          <w:lang w:eastAsia="zh-CN" w:bidi="hi-IN"/>
        </w:rPr>
      </w:pPr>
      <w:r>
        <w:rPr>
          <w:rFonts w:eastAsia="Lucida Sans Unicode"/>
          <w:b/>
          <w:kern w:val="2"/>
          <w:sz w:val="28"/>
          <w:szCs w:val="28"/>
          <w:lang w:eastAsia="zh-CN" w:bidi="hi-IN"/>
        </w:rPr>
        <w:t>Форма проведения вступительного испытания</w:t>
      </w:r>
      <w:r>
        <w:rPr>
          <w:rFonts w:eastAsia="Lucida Sans Unicode"/>
          <w:kern w:val="2"/>
          <w:sz w:val="28"/>
          <w:szCs w:val="28"/>
          <w:lang w:eastAsia="zh-CN" w:bidi="hi-IN"/>
        </w:rPr>
        <w:t>: устная с фиксацией ответа в листе опроса.</w:t>
      </w:r>
    </w:p>
    <w:p>
      <w:pPr>
        <w:pStyle w:val="Normal"/>
        <w:widowControl w:val="false"/>
        <w:ind w:firstLine="72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Максимально возможное количество баллов за ответ: 5 баллов.</w:t>
      </w:r>
    </w:p>
    <w:p>
      <w:pPr>
        <w:pStyle w:val="Normal"/>
        <w:widowControl w:val="false"/>
        <w:ind w:firstLine="72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  <w:r>
        <w:rPr>
          <w:rFonts w:eastAsia="Lucida Sans Unicode" w:cs="Calibri"/>
          <w:b/>
          <w:kern w:val="2"/>
          <w:sz w:val="28"/>
          <w:szCs w:val="28"/>
          <w:lang w:eastAsia="zh-CN" w:bidi="hi-IN"/>
        </w:rPr>
        <w:t>Пороговое значение</w:t>
      </w:r>
      <w:r>
        <w:rPr>
          <w:rFonts w:eastAsia="Lucida Sans Unicode" w:cs="Calibri"/>
          <w:kern w:val="2"/>
          <w:sz w:val="28"/>
          <w:szCs w:val="28"/>
          <w:lang w:eastAsia="zh-CN" w:bidi="hi-IN"/>
        </w:rPr>
        <w:t xml:space="preserve"> – 3 баллов.</w:t>
      </w:r>
    </w:p>
    <w:p>
      <w:pPr>
        <w:pStyle w:val="Normal"/>
        <w:widowControl w:val="false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  <w:r>
        <w:rPr>
          <w:rFonts w:eastAsia="Lucida Sans Unicode" w:cs="Calibri"/>
          <w:kern w:val="2"/>
          <w:sz w:val="26"/>
          <w:szCs w:val="28"/>
          <w:lang w:eastAsia="zh-CN" w:bidi="hi-IN"/>
        </w:rPr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rFonts w:eastAsia="TimesNewRomanPSMT"/>
          <w:b/>
          <w:sz w:val="28"/>
          <w:szCs w:val="28"/>
        </w:rPr>
        <w:t>V. РЕКОМЕНДУЕМАЯ ЛИТЕРАТУРА</w:t>
      </w:r>
    </w:p>
    <w:p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Основная литература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Платонов, А. В. </w:t>
      </w:r>
      <w:r>
        <w:rPr>
          <w:sz w:val="28"/>
          <w:szCs w:val="28"/>
        </w:rPr>
        <w:t xml:space="preserve"> Машинное обучение : учебное пособие для вузов / А. В. Платонов. — Москва : Издательство Юрайт, 2023. — 85 с. — (Высшее образование). — ISBN 978-5-534-15561-7. — Текст : электронный // Образовательная платформа Юрайт [сайт]. — URL: </w:t>
      </w:r>
      <w:hyperlink r:id="rId2" w:tgtFrame="_blank">
        <w:r>
          <w:rPr>
            <w:rStyle w:val="Hyperlink"/>
            <w:sz w:val="28"/>
            <w:szCs w:val="28"/>
          </w:rPr>
          <w:t>https://urait.ru/bcode/520544</w:t>
        </w:r>
      </w:hyperlink>
      <w:r>
        <w:rPr>
          <w:sz w:val="28"/>
          <w:szCs w:val="28"/>
        </w:rPr>
        <w:t xml:space="preserve"> (дата обращения: 22.01.2024).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Новиков, Ф. А. </w:t>
      </w:r>
      <w:r>
        <w:rPr>
          <w:sz w:val="28"/>
          <w:szCs w:val="28"/>
        </w:rPr>
        <w:t xml:space="preserve"> Символический искусственный интеллект: математические основы представления знаний : учебное пособие для вузов / Ф. А. Новиков. — Москва : Издательство Юрайт, 2023. — 278 с. — (Высшее образование). — ISBN 978-5-534-00734-3. — Текст : электронный // Образовательная платформа Юрайт [сайт]. — URL: </w:t>
      </w:r>
      <w:hyperlink r:id="rId3" w:tgtFrame="_blank">
        <w:r>
          <w:rPr>
            <w:rStyle w:val="Hyperlink"/>
            <w:sz w:val="28"/>
            <w:szCs w:val="28"/>
          </w:rPr>
          <w:t>https://urait.ru/bcode/512382</w:t>
        </w:r>
      </w:hyperlink>
      <w:r>
        <w:rPr>
          <w:sz w:val="28"/>
          <w:szCs w:val="28"/>
        </w:rPr>
        <w:t xml:space="preserve"> (дата обращения: 22.01.2024).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Сурова Н. Ю.</w:t>
      </w:r>
      <w:r>
        <w:rPr>
          <w:sz w:val="28"/>
          <w:szCs w:val="28"/>
        </w:rPr>
        <w:t xml:space="preserve"> Искусственный интеллект / Н. Ю. Сурова, М. Е. Косов. – Москва : Юнити-Дана, 2021. – 408 с. : ил., табл., схем. – Режим доступа: по подписке. – URL: </w:t>
      </w:r>
      <w:hyperlink r:id="rId4">
        <w:r>
          <w:rPr>
            <w:sz w:val="28"/>
            <w:szCs w:val="28"/>
          </w:rPr>
          <w:t>https://biblioclub.ru/index.php?page=book&amp;id=690578</w:t>
        </w:r>
      </w:hyperlink>
      <w:r>
        <w:rPr>
          <w:sz w:val="28"/>
          <w:szCs w:val="28"/>
        </w:rPr>
        <w:t xml:space="preserve">  – Библиогр.: с. 383-385. – ISBN 978-5-238-03513-0. – Текст : электронный.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sz w:val="28"/>
          <w:szCs w:val="28"/>
        </w:rPr>
        <w:t>Машинное обучение : учебник : [16+] / Е. Ю. Бутырский, В. В. Цехановский, Н. А. Жукова [и др.]. – Москва : Директ-Медиа, 2023. – 368 с. : ил., табл., схем., граф. – Режим доступа: по подписке. – URL: </w:t>
      </w:r>
      <w:hyperlink r:id="rId5">
        <w:r>
          <w:rPr>
            <w:sz w:val="28"/>
            <w:szCs w:val="28"/>
          </w:rPr>
          <w:t>https://biblioclub.ru/index.php?page=book&amp;id=701807</w:t>
        </w:r>
      </w:hyperlink>
      <w:r>
        <w:rPr>
          <w:sz w:val="28"/>
          <w:szCs w:val="28"/>
        </w:rPr>
        <w:t xml:space="preserve">  – Библиогр. в кн. – ISBN 978-5-4499-3778-0. – DOI 10.23681/701807. – Текст : электронный.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Федоров, Д. Ю. </w:t>
      </w:r>
      <w:r>
        <w:rPr>
          <w:sz w:val="28"/>
          <w:szCs w:val="28"/>
        </w:rPr>
        <w:t xml:space="preserve"> Программирование на языке высокого уровня Python : учебное пособие для вузов / Д. Ю. Федоров. — 5-е изд., перераб. и доп. — Москва : Издательство Юрайт, 2023. — 227 с. — (Высшее образование). — ISBN 978-5-534-17323-9. — Текст : электронный // Образовательная платформа Юрайт [сайт]. — URL: </w:t>
      </w:r>
      <w:hyperlink r:id="rId6" w:tgtFrame="_blank">
        <w:r>
          <w:rPr>
            <w:rStyle w:val="Hyperlink"/>
            <w:sz w:val="28"/>
            <w:szCs w:val="28"/>
          </w:rPr>
          <w:t>https://urait.ru/bcode/532868</w:t>
        </w:r>
      </w:hyperlink>
      <w:r>
        <w:rPr>
          <w:sz w:val="28"/>
          <w:szCs w:val="28"/>
        </w:rPr>
        <w:t xml:space="preserve"> (дата обращения: 22.01.2024).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hanging="369"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Илюшечкин, В. М. </w:t>
      </w:r>
      <w:r>
        <w:rPr>
          <w:sz w:val="28"/>
          <w:szCs w:val="28"/>
        </w:rPr>
        <w:t xml:space="preserve"> Основы использования и проектирования баз данных : учебник для вузов / В. М. Илюшечкин. — Москва : Издательство Юрайт, 2023. — 213 с. — (Высшее образование). — ISBN 978-5-534-03617-6. — Текст : электронный // Образовательная платформа Юрайт [сайт]. — URL: </w:t>
      </w:r>
      <w:hyperlink r:id="rId7" w:tgtFrame="_blank">
        <w:r>
          <w:rPr>
            <w:rStyle w:val="Hyperlink"/>
            <w:sz w:val="28"/>
            <w:szCs w:val="28"/>
          </w:rPr>
          <w:t>https://urait.ru/bcode/510473</w:t>
        </w:r>
      </w:hyperlink>
      <w:r>
        <w:rPr>
          <w:sz w:val="28"/>
          <w:szCs w:val="28"/>
        </w:rPr>
        <w:t xml:space="preserve"> (дата обращения: 22.01.2024). </w:t>
      </w:r>
    </w:p>
    <w:p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>
      <w:pPr>
        <w:pStyle w:val="ListParagraph"/>
        <w:numPr>
          <w:ilvl w:val="0"/>
          <w:numId w:val="3"/>
        </w:numPr>
        <w:ind w:hanging="369" w:left="426"/>
        <w:jc w:val="both"/>
        <w:rPr>
          <w:sz w:val="28"/>
          <w:szCs w:val="28"/>
        </w:rPr>
      </w:pPr>
      <w:r>
        <w:rPr>
          <w:sz w:val="28"/>
          <w:szCs w:val="28"/>
        </w:rPr>
        <w:t>Белозерова Г. И. Нечеткая логика и нейронные сети : учебное пособие : [16+] / Г. И. Белозерова, Д. М. Скуднев, З. А. Кононова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им. П.П. Семенова-Тян-Шанского, 2017. – Часть 1. – 65 с. : ил. – Режим доступа: по подписке. – URL: </w:t>
      </w:r>
      <w:hyperlink r:id="rId8">
        <w:r>
          <w:rPr>
            <w:sz w:val="28"/>
            <w:szCs w:val="28"/>
          </w:rPr>
          <w:t>https://biblioclub.ru/index.php?page=book&amp;id=576909</w:t>
        </w:r>
      </w:hyperlink>
      <w:r>
        <w:rPr>
          <w:sz w:val="28"/>
          <w:szCs w:val="28"/>
        </w:rPr>
        <w:t xml:space="preserve"> – Библиогр. в кн. – ISBN 978-5-88526-875-2. – Текст : электронный. </w:t>
      </w:r>
    </w:p>
    <w:p>
      <w:pPr>
        <w:pStyle w:val="ListParagraph"/>
        <w:numPr>
          <w:ilvl w:val="0"/>
          <w:numId w:val="3"/>
        </w:numPr>
        <w:ind w:hanging="369" w:left="426"/>
        <w:jc w:val="both"/>
        <w:rPr>
          <w:rFonts w:ascii="Open Sans" w:hAnsi="Open Sans" w:cs="Open Sans"/>
          <w:color w:val="454545"/>
          <w:sz w:val="23"/>
          <w:szCs w:val="23"/>
        </w:rPr>
      </w:pPr>
      <w:r>
        <w:rPr>
          <w:sz w:val="28"/>
          <w:szCs w:val="28"/>
        </w:rPr>
        <w:t>Влацкая И. В. Проектирование и реализация прикладного программного обеспечения : учебное пособие / И. В. Влацкая, Н. А. Заельская, Н. С. Надточий ; Оренбургский государственный университет, Кафедра компьютерной безопасности и математического обеспечения информационных систем. – Оренбург : Оренбургский государственный университет, 2015. – 119 с. : табл., схем. – Режим доступа: по подписке. – URL: </w:t>
      </w:r>
      <w:hyperlink r:id="rId9">
        <w:r>
          <w:rPr>
            <w:sz w:val="28"/>
            <w:szCs w:val="28"/>
          </w:rPr>
          <w:t>https://biblioclub.ru/index.php?page=book&amp;id=439107</w:t>
        </w:r>
      </w:hyperlink>
      <w:r>
        <w:rPr>
          <w:sz w:val="28"/>
          <w:szCs w:val="28"/>
        </w:rPr>
        <w:t>  – Библиогр. в кн. – ISBN 978-5-7410-1238-3. – Текст : электронный.</w:t>
      </w:r>
    </w:p>
    <w:p>
      <w:pPr>
        <w:pStyle w:val="ListParagraph"/>
        <w:numPr>
          <w:ilvl w:val="0"/>
          <w:numId w:val="3"/>
        </w:numPr>
        <w:ind w:hanging="369"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Масина О.Н., Дружинина О.В., Рапопорт Л.Б. Элементы теории устойчивости математических моделей управляемых систем. Учебное пособие. Елец: Елецкий государственный университет им. И.А. Бунина, 2019. </w:t>
      </w:r>
      <w:hyperlink r:id="rId10">
        <w:r>
          <w:rPr>
            <w:sz w:val="28"/>
            <w:szCs w:val="28"/>
          </w:rPr>
          <w:t>https://elsu.ru/uploads/files/2020-04/1586241874_maket_masina_druzhinina_rapoport.pdf</w:t>
        </w:r>
      </w:hyperlink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3"/>
        </w:numPr>
        <w:ind w:hanging="369"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Масина О.Н., Петров А.А., Дружинина О.В. Использование высокоуровневых языков программирования для решения задач моделирования. Учебное пособие. Елец: ЕГУ им. И.А. Бунина, 2023. 98 с. </w:t>
      </w:r>
      <w:hyperlink r:id="rId11">
        <w:r>
          <w:rPr>
            <w:sz w:val="28"/>
            <w:szCs w:val="28"/>
          </w:rPr>
          <w:t>https://elsu.ru/uploads/files/2024-01/1704830132_masina_posobie_2023.pdf</w:t>
        </w:r>
      </w:hyperlink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hanging="0" w:left="426"/>
        <w:jc w:val="both"/>
        <w:rPr>
          <w:sz w:val="28"/>
          <w:szCs w:val="28"/>
        </w:rPr>
      </w:pPr>
      <w:r>
        <w:rPr/>
      </w:r>
    </w:p>
    <w:sectPr>
      <w:footerReference w:type="even" r:id="rId12"/>
      <w:footerReference w:type="default" r:id="rId13"/>
      <w:type w:val="nextPage"/>
      <w:pgSz w:w="11906" w:h="16838"/>
      <w:pgMar w:left="1418" w:right="851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imesNew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ind w:right="3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410" w:customStyle="1">
    <w:name w:val="rvts1410"/>
    <w:qFormat/>
    <w:rPr>
      <w:rFonts w:cs="Times New Roman"/>
    </w:rPr>
  </w:style>
  <w:style w:type="character" w:styleId="Style13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qFormat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2" w:customStyle="1">
    <w:name w:val="Основной текст 2 Знак"/>
    <w:basedOn w:val="DefaultParagraphFont"/>
    <w:link w:val="BodyText2"/>
    <w:qFormat/>
    <w:rPr>
      <w:rFonts w:ascii="Courier New" w:hAnsi="Courier New" w:eastAsia="Times New Roman" w:cs="Courier New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Mw-headline" w:customStyle="1">
    <w:name w:val="mw-headline"/>
    <w:basedOn w:val="DefaultParagraphFont"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01" w:customStyle="1">
    <w:name w:val="fontstyle01"/>
    <w:basedOn w:val="DefaultParagraphFont"/>
    <w:qFormat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7">
    <w:name w:val="Колонтитул"/>
    <w:basedOn w:val="Normal"/>
    <w:qFormat/>
    <w:pPr/>
    <w:rPr/>
  </w:style>
  <w:style w:type="paragraph" w:styleId="Footer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1" w:customStyle="1">
    <w:name w:val="Абзац списка1"/>
    <w:basedOn w:val="Normal"/>
    <w:qFormat/>
    <w:pPr>
      <w:suppressAutoHyphens w:val="true"/>
      <w:ind w:left="720"/>
    </w:pPr>
    <w:rPr>
      <w:rFonts w:ascii="Calibri" w:hAnsi="Calibri"/>
      <w:lang w:eastAsia="ar-SA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2">
    <w:name w:val="Body Text 2"/>
    <w:basedOn w:val="Normal"/>
    <w:link w:val="2"/>
    <w:qFormat/>
    <w:pPr>
      <w:widowControl w:val="false"/>
      <w:spacing w:lineRule="auto" w:line="480" w:before="0" w:after="120"/>
      <w:ind w:firstLine="680"/>
    </w:pPr>
    <w:rPr>
      <w:rFonts w:ascii="Courier New" w:hAnsi="Courier New" w:cs="Courier New"/>
      <w:sz w:val="22"/>
      <w:szCs w:val="22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Index1">
    <w:name w:val="index 1"/>
    <w:basedOn w:val="Normal"/>
    <w:next w:val="Normal"/>
    <w:autoRedefine/>
    <w:uiPriority w:val="99"/>
    <w:semiHidden/>
    <w:unhideWhenUsed/>
    <w:qFormat/>
    <w:pPr>
      <w:ind w:hanging="240" w:left="240"/>
    </w:pPr>
    <w:rPr/>
  </w:style>
  <w:style w:type="paragraph" w:styleId="Indexheading">
    <w:name w:val="index heading"/>
    <w:basedOn w:val="Normal"/>
    <w:qFormat/>
    <w:pPr>
      <w:suppressLineNumbers/>
      <w:suppressAutoHyphens w:val="true"/>
    </w:pPr>
    <w:rPr>
      <w:rFonts w:cs="Droid Sans Devanagari"/>
    </w:rPr>
  </w:style>
  <w:style w:type="paragraph" w:styleId="Header">
    <w:name w:val="Header"/>
    <w:basedOn w:val="Normal"/>
    <w:link w:val="Style14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520544" TargetMode="External"/><Relationship Id="rId3" Type="http://schemas.openxmlformats.org/officeDocument/2006/relationships/hyperlink" Target="https://urait.ru/bcode/512382" TargetMode="External"/><Relationship Id="rId4" Type="http://schemas.openxmlformats.org/officeDocument/2006/relationships/hyperlink" Target="https://biblioclub.ru/index.php?page=book&amp;id=690578" TargetMode="External"/><Relationship Id="rId5" Type="http://schemas.openxmlformats.org/officeDocument/2006/relationships/hyperlink" Target="https://biblioclub.ru/index.php?page=book&amp;id=701807" TargetMode="External"/><Relationship Id="rId6" Type="http://schemas.openxmlformats.org/officeDocument/2006/relationships/hyperlink" Target="https://urait.ru/bcode/532868" TargetMode="External"/><Relationship Id="rId7" Type="http://schemas.openxmlformats.org/officeDocument/2006/relationships/hyperlink" Target="https://urait.ru/bcode/510473" TargetMode="External"/><Relationship Id="rId8" Type="http://schemas.openxmlformats.org/officeDocument/2006/relationships/hyperlink" Target="https://biblioclub.ru/index.php?page=book&amp;id=576909" TargetMode="External"/><Relationship Id="rId9" Type="http://schemas.openxmlformats.org/officeDocument/2006/relationships/hyperlink" Target="https://biblioclub.ru/index.php?page=book&amp;id=439107" TargetMode="External"/><Relationship Id="rId10" Type="http://schemas.openxmlformats.org/officeDocument/2006/relationships/hyperlink" Target="https://elsu.ru/uploads/files/2020-04/1586241874_maket_masina_druzhinina_rapoport.pdf" TargetMode="External"/><Relationship Id="rId11" Type="http://schemas.openxmlformats.org/officeDocument/2006/relationships/hyperlink" Target="https://elsu.ru/uploads/files/2024-01/1704830132_masina_posobie_2023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A593-88A9-4B81-B3C9-97ED891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Application>LibreOffice/7.6.4.1$Linux_X86_64 LibreOffice_project/60$Build-1</Application>
  <AppVersion>15.0000</AppVersion>
  <Pages>7</Pages>
  <Words>1488</Words>
  <Characters>11380</Characters>
  <CharactersWithSpaces>12826</CharactersWithSpaces>
  <Paragraphs>110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2022-03-29T19:46:00Z</dcterms:created>
  <dc:creator>HP</dc:creator>
  <dc:description/>
  <dc:language>ru-RU</dc:language>
  <cp:lastModifiedBy/>
  <dcterms:modified xsi:type="dcterms:W3CDTF">2024-01-22T21:36:15Z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