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34D1" w:rsidRPr="00D534D1" w:rsidRDefault="0061725F" w:rsidP="00D534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34D1">
        <w:rPr>
          <w:rFonts w:ascii="Times New Roman" w:hAnsi="Times New Roman" w:cs="Times New Roman"/>
          <w:b/>
          <w:sz w:val="24"/>
          <w:szCs w:val="24"/>
        </w:rPr>
        <w:t>Вопросы</w:t>
      </w:r>
    </w:p>
    <w:p w:rsidR="0061725F" w:rsidRPr="00D534D1" w:rsidRDefault="0061725F" w:rsidP="00D534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34D1">
        <w:rPr>
          <w:rFonts w:ascii="Times New Roman" w:hAnsi="Times New Roman" w:cs="Times New Roman"/>
          <w:b/>
          <w:sz w:val="24"/>
          <w:szCs w:val="24"/>
        </w:rPr>
        <w:t>к экзамену</w:t>
      </w:r>
      <w:r w:rsidR="00D534D1" w:rsidRPr="00D534D1">
        <w:rPr>
          <w:rFonts w:ascii="Times New Roman" w:hAnsi="Times New Roman" w:cs="Times New Roman"/>
          <w:b/>
          <w:sz w:val="24"/>
          <w:szCs w:val="24"/>
        </w:rPr>
        <w:t xml:space="preserve"> по дисциплине</w:t>
      </w:r>
    </w:p>
    <w:p w:rsidR="00D534D1" w:rsidRDefault="00D534D1" w:rsidP="00D534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34D1">
        <w:rPr>
          <w:rFonts w:ascii="Times New Roman" w:hAnsi="Times New Roman" w:cs="Times New Roman"/>
          <w:b/>
          <w:sz w:val="24"/>
          <w:szCs w:val="24"/>
        </w:rPr>
        <w:t>«</w:t>
      </w:r>
      <w:r w:rsidRPr="00D534D1">
        <w:rPr>
          <w:rFonts w:ascii="Times New Roman" w:hAnsi="Times New Roman" w:cs="Times New Roman"/>
          <w:b/>
          <w:sz w:val="24"/>
          <w:szCs w:val="24"/>
        </w:rPr>
        <w:t>Физико-химические методы анализа органических соединений</w:t>
      </w:r>
      <w:r w:rsidRPr="00D534D1">
        <w:rPr>
          <w:rFonts w:ascii="Times New Roman" w:hAnsi="Times New Roman" w:cs="Times New Roman"/>
          <w:b/>
          <w:sz w:val="24"/>
          <w:szCs w:val="24"/>
        </w:rPr>
        <w:t>»</w:t>
      </w:r>
    </w:p>
    <w:p w:rsidR="00864782" w:rsidRPr="00D534D1" w:rsidRDefault="00864782" w:rsidP="00D534D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34D1" w:rsidRPr="00D534D1" w:rsidRDefault="00D534D1" w:rsidP="00D534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4782">
        <w:rPr>
          <w:rFonts w:ascii="Times New Roman" w:hAnsi="Times New Roman" w:cs="Times New Roman"/>
          <w:b/>
          <w:sz w:val="24"/>
          <w:szCs w:val="24"/>
        </w:rPr>
        <w:t xml:space="preserve">Направление подготовки: </w:t>
      </w:r>
      <w:r w:rsidRPr="00D534D1">
        <w:rPr>
          <w:rFonts w:ascii="Times New Roman" w:hAnsi="Times New Roman" w:cs="Times New Roman"/>
          <w:sz w:val="24"/>
          <w:szCs w:val="24"/>
        </w:rPr>
        <w:t>04.04.01 Химия</w:t>
      </w:r>
    </w:p>
    <w:p w:rsidR="00D534D1" w:rsidRPr="00D534D1" w:rsidRDefault="00D534D1" w:rsidP="00D534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4782">
        <w:rPr>
          <w:rFonts w:ascii="Times New Roman" w:hAnsi="Times New Roman" w:cs="Times New Roman"/>
          <w:b/>
          <w:sz w:val="24"/>
          <w:szCs w:val="24"/>
        </w:rPr>
        <w:t>Направленность (профиль):</w:t>
      </w:r>
      <w:r w:rsidRPr="00D534D1">
        <w:rPr>
          <w:rFonts w:ascii="Times New Roman" w:hAnsi="Times New Roman" w:cs="Times New Roman"/>
          <w:sz w:val="24"/>
          <w:szCs w:val="24"/>
        </w:rPr>
        <w:t xml:space="preserve"> Трансляционная химия и биохимические технологии</w:t>
      </w:r>
    </w:p>
    <w:p w:rsidR="00D534D1" w:rsidRPr="00D534D1" w:rsidRDefault="00D534D1" w:rsidP="00D534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4782">
        <w:rPr>
          <w:rFonts w:ascii="Times New Roman" w:hAnsi="Times New Roman" w:cs="Times New Roman"/>
          <w:b/>
          <w:sz w:val="24"/>
          <w:szCs w:val="24"/>
        </w:rPr>
        <w:t>Квалификация (степень):</w:t>
      </w:r>
      <w:r w:rsidRPr="00D534D1">
        <w:rPr>
          <w:rFonts w:ascii="Times New Roman" w:hAnsi="Times New Roman" w:cs="Times New Roman"/>
          <w:sz w:val="24"/>
          <w:szCs w:val="24"/>
        </w:rPr>
        <w:t xml:space="preserve"> Магистр</w:t>
      </w:r>
    </w:p>
    <w:p w:rsidR="00D534D1" w:rsidRPr="00D534D1" w:rsidRDefault="00D534D1" w:rsidP="00D534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4782">
        <w:rPr>
          <w:rFonts w:ascii="Times New Roman" w:hAnsi="Times New Roman" w:cs="Times New Roman"/>
          <w:b/>
          <w:sz w:val="24"/>
          <w:szCs w:val="24"/>
        </w:rPr>
        <w:t>Форма обучения:</w:t>
      </w:r>
      <w:r w:rsidRPr="00D534D1">
        <w:rPr>
          <w:rFonts w:ascii="Times New Roman" w:hAnsi="Times New Roman" w:cs="Times New Roman"/>
          <w:sz w:val="24"/>
          <w:szCs w:val="24"/>
        </w:rPr>
        <w:t xml:space="preserve"> Очная</w:t>
      </w:r>
    </w:p>
    <w:p w:rsidR="00D534D1" w:rsidRPr="00D534D1" w:rsidRDefault="00D534D1" w:rsidP="00D534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4782">
        <w:rPr>
          <w:rFonts w:ascii="Times New Roman" w:hAnsi="Times New Roman" w:cs="Times New Roman"/>
          <w:b/>
          <w:sz w:val="24"/>
          <w:szCs w:val="24"/>
        </w:rPr>
        <w:t xml:space="preserve">Факультет: </w:t>
      </w:r>
      <w:r w:rsidRPr="00D534D1">
        <w:rPr>
          <w:rFonts w:ascii="Times New Roman" w:hAnsi="Times New Roman" w:cs="Times New Roman"/>
          <w:sz w:val="24"/>
          <w:szCs w:val="24"/>
        </w:rPr>
        <w:t>медицинский</w:t>
      </w:r>
    </w:p>
    <w:p w:rsidR="00D534D1" w:rsidRDefault="00D534D1" w:rsidP="00D534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64782">
        <w:rPr>
          <w:rFonts w:ascii="Times New Roman" w:hAnsi="Times New Roman" w:cs="Times New Roman"/>
          <w:b/>
          <w:sz w:val="24"/>
          <w:szCs w:val="24"/>
        </w:rPr>
        <w:t>Кафедра:</w:t>
      </w:r>
      <w:r w:rsidRPr="00D534D1">
        <w:rPr>
          <w:rFonts w:ascii="Times New Roman" w:hAnsi="Times New Roman" w:cs="Times New Roman"/>
          <w:sz w:val="24"/>
          <w:szCs w:val="24"/>
        </w:rPr>
        <w:t xml:space="preserve"> химико-биологических дисциплин и фармакологии</w:t>
      </w:r>
    </w:p>
    <w:p w:rsidR="00D534D1" w:rsidRDefault="00D534D1" w:rsidP="00D534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1725F" w:rsidRPr="0061725F" w:rsidRDefault="0061725F" w:rsidP="00D534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1. Систематический и дробный метод качественного химического анализа.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Разделение на группы и подгруппы. Характерные и дробные химические реакции.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2.Расчеты в титриметрич</w:t>
      </w:r>
      <w:bookmarkStart w:id="0" w:name="_GoBack"/>
      <w:bookmarkEnd w:id="0"/>
      <w:r w:rsidRPr="0061725F">
        <w:rPr>
          <w:rFonts w:ascii="Times New Roman" w:hAnsi="Times New Roman" w:cs="Times New Roman"/>
          <w:sz w:val="24"/>
          <w:szCs w:val="24"/>
        </w:rPr>
        <w:t>еском анализ. З-н эквивалентов и следствия из него. Рас-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четы весового и процентного содержания, концентраций. Молярные массы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эквивалента.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3. Расчеты величины рН для слабых кислот и оснований. Закон разбавления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1725F">
        <w:rPr>
          <w:rFonts w:ascii="Times New Roman" w:hAnsi="Times New Roman" w:cs="Times New Roman"/>
          <w:sz w:val="24"/>
          <w:szCs w:val="24"/>
        </w:rPr>
        <w:t>Оствальда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>. Расчеты величины рН для сильных кислот и оснований.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4. Буферные растворы. Свойства буферных растворов. Расчет величины рН для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буферных систем.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5. Растворимость и произведение растворимости. Произведение активности.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Влияние различных факторов на растворимость осадков. Однотипные и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разнотипные осадки. Расчеты растворимости по величине произведения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растворимости и наоборот.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6. Активность. Ионная сила. Влияние ионной силы на активность ионов. Уравнение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Дебая-</w:t>
      </w:r>
      <w:proofErr w:type="spellStart"/>
      <w:r w:rsidRPr="0061725F">
        <w:rPr>
          <w:rFonts w:ascii="Times New Roman" w:hAnsi="Times New Roman" w:cs="Times New Roman"/>
          <w:sz w:val="24"/>
          <w:szCs w:val="24"/>
        </w:rPr>
        <w:t>Гюккеля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>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 xml:space="preserve">7. Определение кислот, основания и </w:t>
      </w:r>
      <w:proofErr w:type="spellStart"/>
      <w:r w:rsidRPr="0061725F">
        <w:rPr>
          <w:rFonts w:ascii="Times New Roman" w:hAnsi="Times New Roman" w:cs="Times New Roman"/>
          <w:sz w:val="24"/>
          <w:szCs w:val="24"/>
        </w:rPr>
        <w:t>гидролизующихся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 xml:space="preserve"> солей. Скачки титрования.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8. Расчеты величины рН в эквивалентной точке. Выбор индикаторов для различных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случаев титрования.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9. Индикаторы в методе кислотно-основного титрования. теоретические основы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поведения индикаторов. Определение оснований, кислот и солей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 xml:space="preserve">10. </w:t>
      </w:r>
      <w:proofErr w:type="spellStart"/>
      <w:r w:rsidRPr="0061725F">
        <w:rPr>
          <w:rFonts w:ascii="Times New Roman" w:hAnsi="Times New Roman" w:cs="Times New Roman"/>
          <w:sz w:val="24"/>
          <w:szCs w:val="24"/>
        </w:rPr>
        <w:t>Окислительно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>-восстановительный потенциал. Уравнение Нернста. Влияние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различных факторов на реальный потенциал системы.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 xml:space="preserve">11. Константа равновесия </w:t>
      </w:r>
      <w:proofErr w:type="spellStart"/>
      <w:r w:rsidRPr="0061725F">
        <w:rPr>
          <w:rFonts w:ascii="Times New Roman" w:hAnsi="Times New Roman" w:cs="Times New Roman"/>
          <w:sz w:val="24"/>
          <w:szCs w:val="24"/>
        </w:rPr>
        <w:t>окислительно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>-восстановительных реакций. Влияние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 xml:space="preserve">различных факторов на скорость </w:t>
      </w:r>
      <w:proofErr w:type="spellStart"/>
      <w:r w:rsidRPr="0061725F">
        <w:rPr>
          <w:rFonts w:ascii="Times New Roman" w:hAnsi="Times New Roman" w:cs="Times New Roman"/>
          <w:sz w:val="24"/>
          <w:szCs w:val="24"/>
        </w:rPr>
        <w:t>окислительно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>-восстановительных реакций.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 xml:space="preserve">Автокатализ. Сопряженные </w:t>
      </w:r>
      <w:proofErr w:type="spellStart"/>
      <w:r w:rsidRPr="0061725F">
        <w:rPr>
          <w:rFonts w:ascii="Times New Roman" w:hAnsi="Times New Roman" w:cs="Times New Roman"/>
          <w:sz w:val="24"/>
          <w:szCs w:val="24"/>
        </w:rPr>
        <w:t>окислительно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>-восстановительные реакции.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 xml:space="preserve">12. Кривые титрования и выбор индикаторов в различных методах. </w:t>
      </w:r>
      <w:proofErr w:type="spellStart"/>
      <w:r w:rsidRPr="0061725F">
        <w:rPr>
          <w:rFonts w:ascii="Times New Roman" w:hAnsi="Times New Roman" w:cs="Times New Roman"/>
          <w:sz w:val="24"/>
          <w:szCs w:val="24"/>
        </w:rPr>
        <w:t>Хроматометрия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>,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1725F">
        <w:rPr>
          <w:rFonts w:ascii="Times New Roman" w:hAnsi="Times New Roman" w:cs="Times New Roman"/>
          <w:sz w:val="24"/>
          <w:szCs w:val="24"/>
        </w:rPr>
        <w:t>йодометрия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1725F">
        <w:rPr>
          <w:rFonts w:ascii="Times New Roman" w:hAnsi="Times New Roman" w:cs="Times New Roman"/>
          <w:sz w:val="24"/>
          <w:szCs w:val="24"/>
        </w:rPr>
        <w:t>перманганатометрия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1725F">
        <w:rPr>
          <w:rFonts w:ascii="Times New Roman" w:hAnsi="Times New Roman" w:cs="Times New Roman"/>
          <w:sz w:val="24"/>
          <w:szCs w:val="24"/>
        </w:rPr>
        <w:t>ванадатометрия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 xml:space="preserve"> и др.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13. Визуализация информации с помощью средств подготовки презентаций, кон-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61725F">
        <w:rPr>
          <w:rFonts w:ascii="Times New Roman" w:hAnsi="Times New Roman" w:cs="Times New Roman"/>
          <w:sz w:val="24"/>
          <w:szCs w:val="24"/>
        </w:rPr>
        <w:t>структоров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 xml:space="preserve"> электронных учебных пособий.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 xml:space="preserve">14. </w:t>
      </w:r>
      <w:proofErr w:type="spellStart"/>
      <w:r w:rsidRPr="0061725F">
        <w:rPr>
          <w:rFonts w:ascii="Times New Roman" w:hAnsi="Times New Roman" w:cs="Times New Roman"/>
          <w:sz w:val="24"/>
          <w:szCs w:val="24"/>
        </w:rPr>
        <w:t>Аргенто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 xml:space="preserve">- и </w:t>
      </w:r>
      <w:proofErr w:type="spellStart"/>
      <w:r w:rsidRPr="0061725F">
        <w:rPr>
          <w:rFonts w:ascii="Times New Roman" w:hAnsi="Times New Roman" w:cs="Times New Roman"/>
          <w:sz w:val="24"/>
          <w:szCs w:val="24"/>
        </w:rPr>
        <w:t>меркуриметрия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>. Кривые титрования. Адсорбция и окклюзия.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Изоморфизм. Индикаторы.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 xml:space="preserve">15. Комплексонометрия. </w:t>
      </w:r>
      <w:proofErr w:type="spellStart"/>
      <w:r w:rsidRPr="0061725F">
        <w:rPr>
          <w:rFonts w:ascii="Times New Roman" w:hAnsi="Times New Roman" w:cs="Times New Roman"/>
          <w:sz w:val="24"/>
          <w:szCs w:val="24"/>
        </w:rPr>
        <w:t>Хелатообразование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>. Комплексоны с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аминополикарбоновыми группами.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16. Серо- и фосфорсодержащие комплексоны. Состав и структура комплексов.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Индикаторы в комплексонометрии.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17. Особенности и области применения. Выбор метода анализа с учетом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концентрации определяемых компонентов, наличия средств измерения,</w:t>
      </w:r>
    </w:p>
    <w:p w:rsidR="00597B81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квалификации персонала, продолжительности проведения анализа.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18. Основные физико-химические методы анализа: оптические. Классификация и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область применения.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19. Основные физико-химические методы анализа: электрохимические.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lastRenderedPageBreak/>
        <w:t>Классификация и область применения.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 xml:space="preserve">20. Основные физико-химические методы анализа: </w:t>
      </w:r>
      <w:proofErr w:type="spellStart"/>
      <w:r w:rsidRPr="0061725F">
        <w:rPr>
          <w:rFonts w:ascii="Times New Roman" w:hAnsi="Times New Roman" w:cs="Times New Roman"/>
          <w:sz w:val="24"/>
          <w:szCs w:val="24"/>
        </w:rPr>
        <w:t>хроматографические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>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Классификация и область применения.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21. Особенности использования при проведении физико-химического анализа.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22. Спектр электромагнитного излучения. Влияние длины волны на электронные,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переходы.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23. Спектр электромагнитного излучения. Влияние длины волны на колебательные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переходы.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24. Спектр электромагнитного излучения. Влияние длины волны на вращательные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переходы.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 xml:space="preserve">25. Закон </w:t>
      </w:r>
      <w:proofErr w:type="spellStart"/>
      <w:r w:rsidRPr="0061725F">
        <w:rPr>
          <w:rFonts w:ascii="Times New Roman" w:hAnsi="Times New Roman" w:cs="Times New Roman"/>
          <w:sz w:val="24"/>
          <w:szCs w:val="24"/>
        </w:rPr>
        <w:t>Бугера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>-Ламберта-</w:t>
      </w:r>
      <w:proofErr w:type="spellStart"/>
      <w:r w:rsidRPr="0061725F">
        <w:rPr>
          <w:rFonts w:ascii="Times New Roman" w:hAnsi="Times New Roman" w:cs="Times New Roman"/>
          <w:sz w:val="24"/>
          <w:szCs w:val="24"/>
        </w:rPr>
        <w:t>Бера</w:t>
      </w:r>
      <w:proofErr w:type="spellEnd"/>
      <w:r w:rsidRPr="0061725F">
        <w:rPr>
          <w:rFonts w:ascii="Times New Roman" w:hAnsi="Times New Roman" w:cs="Times New Roman"/>
          <w:sz w:val="24"/>
          <w:szCs w:val="24"/>
        </w:rPr>
        <w:t>. Причины отклонений – истинные, химические,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инструментальные. Спектры поглощения.</w:t>
      </w:r>
    </w:p>
    <w:p w:rsidR="0061725F" w:rsidRPr="0061725F" w:rsidRDefault="0061725F" w:rsidP="0061725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1725F">
        <w:rPr>
          <w:rFonts w:ascii="Times New Roman" w:hAnsi="Times New Roman" w:cs="Times New Roman"/>
          <w:sz w:val="24"/>
          <w:szCs w:val="24"/>
        </w:rPr>
        <w:t>26. Основные узлы приборов для изучения спектра поглощения.</w:t>
      </w:r>
    </w:p>
    <w:sectPr w:rsidR="0061725F" w:rsidRPr="006172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736"/>
    <w:rsid w:val="00512736"/>
    <w:rsid w:val="00597B81"/>
    <w:rsid w:val="0061725F"/>
    <w:rsid w:val="00864782"/>
    <w:rsid w:val="00D53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0420BB-5751-4CA2-B6EF-6C1CEC584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503</Words>
  <Characters>2872</Characters>
  <Application>Microsoft Office Word</Application>
  <DocSecurity>0</DocSecurity>
  <Lines>23</Lines>
  <Paragraphs>6</Paragraphs>
  <ScaleCrop>false</ScaleCrop>
  <Company/>
  <LinksUpToDate>false</LinksUpToDate>
  <CharactersWithSpaces>3369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4</cp:revision>
  <dcterms:created xsi:type="dcterms:W3CDTF">2024-12-31T09:28:00Z</dcterms:created>
  <dcterms:modified xsi:type="dcterms:W3CDTF">2025-01-04T11:40:00Z</dcterms:modified>
</cp:coreProperties>
</file>